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380"/>
        <w:spacing w:after="0"/>
        <w:tabs>
          <w:tab w:leader="none" w:pos="664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-10160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00" w:type="dxa"/>
            <w:vAlign w:val="bottom"/>
          </w:tcPr>
          <w:p>
            <w:pPr>
              <w:jc w:val="center"/>
              <w:ind w:right="29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70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280 PARK AVENUE, NEW YORK,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174"/>
        </w:trPr>
        <w:tc>
          <w:tcPr>
            <w:tcW w:w="6700" w:type="dxa"/>
            <w:vAlign w:val="bottom"/>
          </w:tcPr>
          <w:p>
            <w:pPr>
              <w:jc w:val="center"/>
              <w:ind w:right="29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700" w:type="dxa"/>
            <w:vAlign w:val="bottom"/>
          </w:tcPr>
          <w:p>
            <w:pPr>
              <w:jc w:val="right"/>
              <w:ind w:right="1364"/>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00" w:type="dxa"/>
            <w:vAlign w:val="bottom"/>
          </w:tcPr>
          <w:p>
            <w:pPr>
              <w:jc w:val="center"/>
              <w:ind w:left="26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200" w:firstLine="456"/>
        <w:spacing w:after="0" w:line="268" w:lineRule="auto"/>
        <w:rPr>
          <w:sz w:val="20"/>
          <w:szCs w:val="20"/>
          <w:color w:val="auto"/>
        </w:rPr>
      </w:pPr>
      <w:r>
        <w:rPr>
          <w:rFonts w:ascii="Arial" w:cs="Arial" w:eastAsia="Arial" w:hAnsi="Arial"/>
          <w:sz w:val="18"/>
          <w:szCs w:val="18"/>
          <w:color w:val="auto"/>
        </w:rPr>
        <w:t>As of April 30, 2010, there were 29,168,714 shares of the registrant’s common stock outstanding (excluding 252,502 shares held in treasury and 270,012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40" w:type="dxa"/>
            <w:vAlign w:val="bottom"/>
            <w:gridSpan w:val="8"/>
            <w:vMerge w:val="restart"/>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800" w:type="dxa"/>
            <w:vAlign w:val="bottom"/>
            <w:gridSpan w:val="2"/>
            <w:vMerge w:val="continue"/>
          </w:tcPr>
          <w:p>
            <w:pPr>
              <w:spacing w:after="0"/>
              <w:rPr>
                <w:sz w:val="14"/>
                <w:szCs w:val="14"/>
                <w:color w:val="auto"/>
              </w:rPr>
            </w:pPr>
          </w:p>
        </w:tc>
        <w:tc>
          <w:tcPr>
            <w:tcW w:w="3000" w:type="dxa"/>
            <w:vAlign w:val="bottom"/>
            <w:tcBorders>
              <w:bottom w:val="single" w:sz="8" w:color="0000EE"/>
            </w:tcBorders>
            <w:gridSpan w:val="10"/>
            <w:vMerge w:val="continue"/>
          </w:tcPr>
          <w:p>
            <w:pPr>
              <w:spacing w:after="0"/>
              <w:rPr>
                <w:sz w:val="14"/>
                <w:szCs w:val="14"/>
                <w:color w:val="auto"/>
              </w:rPr>
            </w:pPr>
          </w:p>
        </w:tc>
        <w:tc>
          <w:tcPr>
            <w:tcW w:w="724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STATEMENTS</w:t>
              </w:r>
            </w:hyperlink>
          </w:p>
        </w:tc>
        <w:tc>
          <w:tcPr>
            <w:tcW w:w="802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(Unaudited) as of March 31, 2010 and December 31, 2009</w:t>
              </w:r>
            </w:hyperlink>
          </w:p>
        </w:tc>
        <w:tc>
          <w:tcPr>
            <w:tcW w:w="40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Ended March 31, 2010 and 2009</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Three months Ended March 31, 2010 and 2009</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6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26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94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850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700" w:type="dxa"/>
            <w:vAlign w:val="bottom"/>
            <w:tcBorders>
              <w:top w:val="single" w:sz="8" w:color="0000EE"/>
            </w:tcBorders>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540" w:type="dxa"/>
            <w:vAlign w:val="bottom"/>
            <w:gridSpan w:val="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94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(Removed and Reserved)</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780" w:type="dxa"/>
            <w:vAlign w:val="bottom"/>
            <w:tcBorders>
              <w:top w:val="single" w:sz="8" w:color="0000EE"/>
            </w:tcBorders>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8460" w:type="dxa"/>
            <w:vAlign w:val="bottom"/>
            <w:gridSpan w:val="1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960" w:type="dxa"/>
            <w:vAlign w:val="bottom"/>
            <w:gridSpan w:val="1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200" w:type="dxa"/>
            <w:vAlign w:val="bottom"/>
            <w:gridSpan w:val="14"/>
          </w:tcPr>
          <w:p>
            <w:pPr>
              <w:ind w:left="48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60" w:type="dxa"/>
            <w:vAlign w:val="bottom"/>
          </w:tcPr>
          <w:p>
            <w:pPr>
              <w:jc w:val="center"/>
              <w:ind w:left="87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72"/>
              <w:spacing w:after="0"/>
              <w:rPr>
                <w:sz w:val="20"/>
                <w:szCs w:val="20"/>
                <w:color w:val="auto"/>
              </w:rPr>
            </w:pPr>
            <w:r>
              <w:rPr>
                <w:rFonts w:ascii="Arial" w:cs="Arial" w:eastAsia="Arial" w:hAnsi="Arial"/>
                <w:sz w:val="18"/>
                <w:szCs w:val="18"/>
                <w:b w:val="1"/>
                <w:bCs w:val="1"/>
                <w:color w:val="auto"/>
                <w:w w:val="99"/>
              </w:rPr>
              <w:t>EXLSERVICE HOLDINGS, INC.</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jc w:val="center"/>
              <w:ind w:left="8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60" w:type="dxa"/>
            <w:vAlign w:val="bottom"/>
          </w:tcPr>
          <w:p>
            <w:pPr>
              <w:jc w:val="center"/>
              <w:ind w:left="87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86"/>
              </w:rPr>
              <w:t>Current assets:</w:t>
            </w:r>
          </w:p>
        </w:tc>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$626 at March 31, 2010 and $262 at December 31, 2009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35,094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Advance income-tax,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149,764</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 net of accumulated depreciation of $39,670 at March 31, 2010 and $35,812 at December 31, 2009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w w:val="85"/>
              </w:rPr>
              <w:t>Restricted cash</w:t>
            </w:r>
          </w:p>
        </w:tc>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Intangibles, net of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Other assets</w:t>
            </w:r>
          </w:p>
        </w:tc>
        <w:tc>
          <w:tcPr>
            <w:tcW w:w="8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257,031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13,301</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liabilities</w:t>
            </w:r>
          </w:p>
        </w:tc>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21"/>
        </w:trPr>
        <w:tc>
          <w:tcPr>
            <w:tcW w:w="93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29,339,538 shares issued and 29,092,508 shares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0"/>
              </w:rPr>
              <w:t>outstanding as of March 31, 2010 and 29,278,103 shares issued and 29,031,073 shares outstanding as of December 31,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2009.</w:t>
            </w:r>
          </w:p>
        </w:tc>
        <w:tc>
          <w:tcPr>
            <w:tcW w:w="8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126,582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219,286</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Less: 247,030 shares as of March 31, 2010 and December 31, 2009, held in treasury, at cost</w:t>
            </w: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218,310</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218,330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257,031</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29,128,741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28,843,190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30,157,956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29,079,675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5,623</w:t>
            </w:r>
          </w:p>
        </w:tc>
        <w:tc>
          <w:tcPr>
            <w:tcW w:w="3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Unrealized foreign exchange (gain)/loss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(3,582)</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329"/>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Business acquisition</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(29,122)</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Proceeds from sale of discontinued operations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329"/>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by/(used for) financing activities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(32,975)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132,215</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99,240</w:t>
            </w:r>
          </w:p>
        </w:tc>
        <w:tc>
          <w:tcPr>
            <w:tcW w:w="34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8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2009.</w:t>
      </w:r>
    </w:p>
    <w:p>
      <w:pPr>
        <w:spacing w:after="0" w:line="9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unaudited consolidated statements of income for the interim periods presented are not necessarily indicative of the results for the full year or for any subsequent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in the prior year’s financial statements and related notes have been reclassified to conform to the 2010 presentation.</w:t>
      </w:r>
    </w:p>
    <w:p>
      <w:pPr>
        <w:spacing w:after="0" w:line="246" w:lineRule="exact"/>
        <w:rPr>
          <w:sz w:val="20"/>
          <w:szCs w:val="20"/>
          <w:color w:val="auto"/>
        </w:rPr>
      </w:pPr>
    </w:p>
    <w:p>
      <w:pPr>
        <w:ind w:left="240" w:right="7920" w:hanging="232"/>
        <w:spacing w:after="0" w:line="347" w:lineRule="auto"/>
        <w:tabs>
          <w:tab w:leader="none" w:pos="18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minority interest represents the minority partner’s interest in the operation of exlService.com (India) Private Limited (“Exl India”) and the profits associated with the minority partner’s interest in those operations, in the unaudited consolidated balance sheet and unaudited consolidated statement of income, respectively. The minority partner’s interest in the operations for the three months ended March 31, 2010 and 2009 was $7 and $0, respectively, and is included under general and administrative expenses in the unaudited consolidated statements of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the Company’s unaudited consolidated financial statements. See Note 6 for further details.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September 2009, the FASB issued Update No. 2009-13, “</w:t>
      </w:r>
      <w:r>
        <w:rPr>
          <w:rFonts w:ascii="Arial" w:cs="Arial" w:eastAsia="Arial" w:hAnsi="Arial"/>
          <w:sz w:val="16"/>
          <w:szCs w:val="16"/>
          <w:i w:val="1"/>
          <w:iCs w:val="1"/>
          <w:color w:val="auto"/>
        </w:rPr>
        <w:t>Multiple-Deliverable Revenue Arrangements—a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(“ASU 2009-13”). It updates the existing multiple-element revenue arrangements guidance currently included under ASC topic 605-25, which originated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the guidance in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(“EITF 00-21”).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has chosen to adopt the new guidance from January 1, 2011. Currently there is no impact from the adoption of ASU 2009-13 as the Company currently does not have any multiple-deliverable revenue arrangements.</w:t>
      </w:r>
    </w:p>
    <w:p>
      <w:pPr>
        <w:sectPr>
          <w:pgSz w:w="11900" w:h="16838" w:orient="portrait"/>
          <w:cols w:equalWidth="0" w:num="1">
            <w:col w:w="11400"/>
          </w:cols>
          <w:pgMar w:left="240" w:top="459" w:right="259" w:bottom="936" w:gutter="0" w:footer="0" w:header="0"/>
        </w:sectPr>
      </w:pP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936"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 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available to common shareholders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29,128,741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28,843,190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Dilutive effect of share based awards</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1,029,215</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30,157,956</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29,079,675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common shares considered anti-dilutive in computing</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5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1,328,643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3,103,074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organized around its outsourcing services and transformation services segments. 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March 31, 2010 and 2009 for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March 31, 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7"/>
              </w:rPr>
              <w:t>Three months ended March 31,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54,489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23,579</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31,485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23,004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16,630</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16,528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March 1, 2010, we acquired the operations of the American Express Global Travel Service Center, a business unit of American Express located in Gurgaon, India, that provides the travel-related business process outsourcing services of American Express. The purchase price of the transaction, which was paid in cash, was approximately $29,122.</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made a preliminary allocation of the purchase price to the tangible and intangible assets and liabilities acquired, based on their fair values, as mentioned below:</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Tangible fixed assets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assets and liabilities, net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(1,459)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intangible assets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Leasehold benefits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20,672</w:t>
            </w:r>
          </w:p>
        </w:tc>
        <w:tc>
          <w:tcPr>
            <w:tcW w:w="12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(2,342)</w:t>
            </w:r>
          </w:p>
        </w:tc>
      </w:tr>
      <w:tr>
        <w:trPr>
          <w:trHeight w:val="216"/>
        </w:trPr>
        <w:tc>
          <w:tcPr>
            <w:tcW w:w="47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29,122</w:t>
            </w:r>
          </w:p>
        </w:tc>
        <w:tc>
          <w:tcPr>
            <w:tcW w:w="12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(“ASC No. 805”), the preliminary allocation of the purchase price to the tangible and intangible assets and liabilities acquired may change up to a period of one year from the date of acquisition. The customer relationship is being amortized over a life of ten years and the leasehold benefits are being amortized over the remaining period of the lease (approximately three years).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March 31, 2010:</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Outsourcing</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7"/>
              </w:rPr>
              <w:t>Transformation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79"/>
              </w:rPr>
              <w:t>Services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772</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$17,557</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Goodwill arising from acquisition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Goodwill arising from acquisition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20,672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20,672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Balance at March 31, 2010</w:t>
            </w:r>
          </w:p>
        </w:tc>
        <w:tc>
          <w:tcPr>
            <w:tcW w:w="10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24,054</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40,839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Information regarding the Company’s intangible assets is as follows: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89"/>
              </w:rPr>
              <w:t>As of March 31, 2010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Net Carrying</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Leasehold benefits</w:t>
            </w: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1,323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10,395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84"/>
              </w:rPr>
              <w:t>As of December 31, 2009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Net Carrying</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794</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794</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212"/>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expense for the three months ended March 31, 2010 and 2009 was $181 and $0, respectively. The estimated amortization of intangible assets for the years ending March 31, 2011, 2012, 2013, 2014 and 2015 is $1,567, $1,418, $1,269, $896 and $828, respectively.</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2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in which all significant inputs are observable in active markets;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2010. The table excludes short-term investments, accounts receivable, accounts payable and accrued expenses for which fair values approximate their carrying amounts.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80,900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5,729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80,900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5,729</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86,629</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$105,688 and GBP 8,758 as of March 31, 2010 and totaling $90,000 and GBP 7,662 as of December 31, 2009. The Company estimates that approximately $3,675 of net derivative gains included in accumulated other comprehensive income (“AOCI”) could be reclassified into earnings within the next twelve months based on exchange rates prevailing as of March 31, 2010. At March 31, 2010, the maximum outstanding term of derivative instruments that hedge forecasted transactions was thirty-three months.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months ended March 31, 2010.</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gridSpan w:val="4"/>
          </w:tcPr>
          <w:p>
            <w:pPr>
              <w:ind w:left="200"/>
              <w:spacing w:after="0"/>
              <w:rPr>
                <w:sz w:val="20"/>
                <w:szCs w:val="20"/>
                <w:color w:val="auto"/>
              </w:rPr>
            </w:pPr>
            <w:r>
              <w:rPr>
                <w:rFonts w:ascii="Arial" w:cs="Arial" w:eastAsia="Arial" w:hAnsi="Arial"/>
                <w:sz w:val="14"/>
                <w:szCs w:val="14"/>
                <w:b w:val="1"/>
                <w:bCs w:val="1"/>
                <w:color w:val="auto"/>
                <w:w w:val="89"/>
              </w:rPr>
              <w:t>March 31,</w:t>
            </w:r>
          </w:p>
        </w:tc>
        <w:tc>
          <w:tcPr>
            <w:tcW w:w="136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9"/>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2009</w:t>
            </w: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980" w:type="dxa"/>
            <w:vAlign w:val="bottom"/>
            <w:gridSpan w:val="3"/>
          </w:tcPr>
          <w:p>
            <w:pPr>
              <w:ind w:left="18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3,675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16"/>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980" w:type="dxa"/>
            <w:vAlign w:val="bottom"/>
            <w:gridSpan w:val="3"/>
          </w:tcPr>
          <w:p>
            <w:pPr>
              <w:ind w:left="18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2,039</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451"/>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60" w:type="dxa"/>
            <w:vAlign w:val="bottom"/>
            <w:gridSpan w:val="4"/>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0"/>
              <w:spacing w:after="0"/>
              <w:rPr>
                <w:sz w:val="20"/>
                <w:szCs w:val="20"/>
                <w:color w:val="auto"/>
              </w:rPr>
            </w:pPr>
            <w:r>
              <w:rPr>
                <w:rFonts w:ascii="Arial" w:cs="Arial" w:eastAsia="Arial" w:hAnsi="Arial"/>
                <w:sz w:val="14"/>
                <w:szCs w:val="14"/>
                <w:b w:val="1"/>
                <w:bCs w:val="1"/>
                <w:color w:val="auto"/>
              </w:rPr>
              <w:t>2009</w:t>
            </w: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8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2010 and 2009:</w:t>
      </w:r>
    </w:p>
    <w:p>
      <w:pPr>
        <w:sectPr>
          <w:pgSz w:w="11900" w:h="16838" w:orient="portrait"/>
          <w:cols w:equalWidth="0" w:num="1">
            <w:col w:w="11420"/>
          </w:cols>
          <w:pgMar w:left="240" w:top="459" w:right="239" w:bottom="1440" w:gutter="0" w:footer="0" w:header="0"/>
        </w:sectPr>
      </w:pP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Location of Gain or</w:t>
            </w:r>
          </w:p>
        </w:tc>
      </w:tr>
      <w:tr>
        <w:trPr>
          <w:trHeight w:val="149"/>
        </w:trPr>
        <w:tc>
          <w:tcPr>
            <w:tcW w:w="2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w:t>
            </w: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r>
      <w:tr>
        <w:trPr>
          <w:trHeight w:val="149"/>
        </w:trPr>
        <w:tc>
          <w:tcPr>
            <w:tcW w:w="2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(Loss)</w:t>
            </w: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 on Derivative</w:t>
            </w:r>
          </w:p>
        </w:tc>
      </w:tr>
      <w:tr>
        <w:trPr>
          <w:trHeight w:val="149"/>
        </w:trPr>
        <w:tc>
          <w:tcPr>
            <w:tcW w:w="2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c>
          <w:tcPr>
            <w:tcW w:w="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2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from AOCI into</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r>
      <w:tr>
        <w:trPr>
          <w:trHeight w:val="149"/>
        </w:trPr>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Derivatives in Cash Flow Hedging</w:t>
            </w:r>
          </w:p>
        </w:tc>
        <w:tc>
          <w:tcPr>
            <w:tcW w:w="8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AOCI on Derivative</w:t>
            </w:r>
          </w:p>
        </w:tc>
        <w:tc>
          <w:tcPr>
            <w:tcW w:w="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Income</w:t>
            </w:r>
          </w:p>
        </w:tc>
        <w:tc>
          <w:tcPr>
            <w:tcW w:w="3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Excluded from</w:t>
            </w:r>
          </w:p>
        </w:tc>
      </w:tr>
      <w:tr>
        <w:trPr>
          <w:trHeight w:val="16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Relationships</w:t>
            </w:r>
          </w:p>
        </w:tc>
        <w:tc>
          <w:tcPr>
            <w:tcW w:w="8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3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200" w:type="dxa"/>
            <w:vAlign w:val="bottom"/>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3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Effectiveness Testing)</w:t>
            </w:r>
          </w:p>
        </w:tc>
      </w:tr>
      <w:tr>
        <w:trPr>
          <w:trHeight w:val="142"/>
        </w:trPr>
        <w:tc>
          <w:tcPr>
            <w:tcW w:w="2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60"/>
        <w:spacing w:after="0" w:line="265" w:lineRule="auto"/>
        <w:rPr>
          <w:sz w:val="20"/>
          <w:szCs w:val="20"/>
          <w:color w:val="auto"/>
        </w:rPr>
      </w:pPr>
      <w:r>
        <w:rPr>
          <w:rFonts w:ascii="Arial" w:cs="Arial" w:eastAsia="Arial" w:hAnsi="Arial"/>
          <w:sz w:val="12"/>
          <w:szCs w:val="12"/>
          <w:b w:val="1"/>
          <w:bCs w:val="1"/>
          <w:color w:val="auto"/>
        </w:rPr>
        <w:t>Amount of Gain or (Loss) Recognized in Income on Derivative (Ineffective Portion 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-5715</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ind w:left="140"/>
        <w:spacing w:after="0"/>
        <w:tabs>
          <w:tab w:leader="none" w:pos="98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-6985</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9640" w:space="240"/>
            <w:col w:w="15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220" w:type="dxa"/>
            <w:vAlign w:val="bottom"/>
            <w:shd w:val="clear" w:color="auto" w:fill="CCEEFF"/>
          </w:tcPr>
          <w:p>
            <w:pPr>
              <w:jc w:val="right"/>
              <w:ind w:right="2192"/>
              <w:spacing w:after="0"/>
              <w:rPr>
                <w:sz w:val="20"/>
                <w:szCs w:val="20"/>
                <w:color w:val="auto"/>
              </w:rPr>
            </w:pPr>
            <w:r>
              <w:rPr>
                <w:rFonts w:ascii="Arial" w:cs="Arial" w:eastAsia="Arial" w:hAnsi="Arial"/>
                <w:sz w:val="18"/>
                <w:szCs w:val="18"/>
                <w:color w:val="auto"/>
                <w:w w:val="86"/>
              </w:rPr>
              <w:t>Foreign exchange contracts</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Foreign exchange</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Foreign exchange</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4"/>
        </w:trPr>
        <w:tc>
          <w:tcPr>
            <w:tcW w:w="4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$ 2,955</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(3,926)</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gain/(loss)</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$ 589</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 (1,415)</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gain/(loss)</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19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84"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7"/>
              </w:rPr>
              <w:t>Derivatives Not Designated</w:t>
            </w:r>
          </w:p>
        </w:tc>
        <w:tc>
          <w:tcPr>
            <w:tcW w:w="18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 of Gain or (Loss)</w:t>
            </w:r>
          </w:p>
        </w:tc>
      </w:tr>
      <w:tr>
        <w:trPr>
          <w:trHeight w:val="168"/>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Hedging Instruments</w:t>
            </w:r>
          </w:p>
        </w:tc>
        <w:tc>
          <w:tcPr>
            <w:tcW w:w="188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Recognized in Income on Derivatives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Amount of Gain or (Loss)</w:t>
      </w:r>
    </w:p>
    <w:p>
      <w:pPr>
        <w:spacing w:after="0" w:line="25"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Recognized in Income on</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-7620</wp:posOffset>
            </wp:positionV>
            <wp:extent cx="1200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tabs>
          <w:tab w:leader="none" w:pos="1200" w:val="left"/>
        </w:tabs>
        <w:rPr>
          <w:sz w:val="20"/>
          <w:szCs w:val="20"/>
          <w:color w:val="auto"/>
        </w:rPr>
      </w:pPr>
      <w:r>
        <w:rPr>
          <w:rFonts w:ascii="Arial" w:cs="Arial" w:eastAsia="Arial" w:hAnsi="Arial"/>
          <w:sz w:val="12"/>
          <w:szCs w:val="12"/>
          <w:b w:val="1"/>
          <w:bCs w:val="1"/>
          <w:color w:val="auto"/>
        </w:rPr>
        <w:t>2010</w:t>
      </w:r>
      <w:r>
        <w:rPr>
          <w:sz w:val="20"/>
          <w:szCs w:val="20"/>
          <w:color w:val="auto"/>
        </w:rPr>
        <w:tab/>
      </w:r>
      <w:r>
        <w:rPr>
          <w:rFonts w:ascii="Arial" w:cs="Arial" w:eastAsia="Arial" w:hAnsi="Arial"/>
          <w:sz w:val="12"/>
          <w:szCs w:val="12"/>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6985</wp:posOffset>
            </wp:positionV>
            <wp:extent cx="386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624840</wp:posOffset>
            </wp:positionH>
            <wp:positionV relativeFrom="paragraph">
              <wp:posOffset>6985</wp:posOffset>
            </wp:positionV>
            <wp:extent cx="4629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7960" w:space="720"/>
            <w:col w:w="2740"/>
          </w:cols>
          <w:pgMar w:left="240" w:top="459" w:right="239" w:bottom="1440" w:gutter="0" w:footer="0" w:header="0"/>
          <w:type w:val="continuous"/>
        </w:sectPr>
      </w:pPr>
    </w:p>
    <w:p>
      <w:pPr>
        <w:ind w:left="920"/>
        <w:spacing w:after="0"/>
        <w:tabs>
          <w:tab w:leader="none" w:pos="5800" w:val="left"/>
          <w:tab w:leader="none" w:pos="8480" w:val="left"/>
          <w:tab w:leader="none" w:pos="8820" w:val="left"/>
          <w:tab w:leader="none" w:pos="9640" w:val="left"/>
          <w:tab w:leader="none" w:pos="1006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Foreign exchange gain/(loss)</w:t>
      </w:r>
      <w:r>
        <w:rPr>
          <w:sz w:val="20"/>
          <w:szCs w:val="20"/>
          <w:color w:val="auto"/>
        </w:rPr>
        <w:tab/>
      </w:r>
      <w:r>
        <w:rPr>
          <w:rFonts w:ascii="Arial" w:cs="Arial" w:eastAsia="Arial" w:hAnsi="Arial"/>
          <w:sz w:val="18"/>
          <w:szCs w:val="18"/>
          <w:color w:val="auto"/>
        </w:rPr>
        <w:t>$</w:t>
        <w:tab/>
        <w:t>975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(469)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change in the components of comprehensive income/(loss) for the three months ended March 31, 2010 and 2009:</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Other comprehensive income/(loss):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Unrealized gain/(loss) on effective cash flow hedges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40"/>
              <w:spacing w:after="0"/>
              <w:rPr>
                <w:sz w:val="20"/>
                <w:szCs w:val="20"/>
                <w:color w:val="auto"/>
              </w:rPr>
            </w:pPr>
            <w:r>
              <w:rPr>
                <w:rFonts w:ascii="Arial" w:cs="Arial" w:eastAsia="Arial" w:hAnsi="Arial"/>
                <w:sz w:val="18"/>
                <w:szCs w:val="18"/>
                <w:color w:val="auto"/>
              </w:rPr>
              <w:t>Foreign currency translation adjustment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2,513</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Retirement benefits</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Total other comprehensive income/(loss)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4,893</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10,516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6" w:lineRule="exact"/>
        <w:rPr>
          <w:sz w:val="20"/>
          <w:szCs w:val="20"/>
          <w:color w:val="auto"/>
        </w:rPr>
      </w:pPr>
    </w:p>
    <w:p>
      <w:pPr>
        <w:jc w:val="both"/>
        <w:ind w:right="220" w:firstLine="456"/>
        <w:spacing w:after="0" w:line="323" w:lineRule="auto"/>
        <w:rPr>
          <w:sz w:val="20"/>
          <w:szCs w:val="20"/>
          <w:color w:val="auto"/>
        </w:rPr>
      </w:pPr>
      <w:r>
        <w:rPr>
          <w:rFonts w:ascii="Arial" w:cs="Arial" w:eastAsia="Arial" w:hAnsi="Arial"/>
          <w:sz w:val="15"/>
          <w:szCs w:val="15"/>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7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Net gratuity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maintains both the ExlService Inc. 401(k) Plan and the Inductis 401(k) Profit Sharing Plan, (the “401(k) Plans”) under Section 401(k) of the Internal Revenue Code of 1986 covering all eligible employees. The Company may make discretionary contributions of up to a maximum of 3% of employee compensation within certain limits. The Company’s contribution to the 401(k) Plans amounted to $77 and $82 during the three month period ended March 31, 2010 and March 31, 2009, respectively.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three months period ended March 31, 2010 and 2009, the Company contributed the following amounts to various defined contribution plans on behalf of its employees in India, the Philippines, Romania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Three months ended March 31, 2009</w:t>
            </w:r>
          </w:p>
        </w:tc>
        <w:tc>
          <w:tcPr>
            <w:tcW w:w="2780" w:type="dxa"/>
            <w:vAlign w:val="bottom"/>
          </w:tcPr>
          <w:p>
            <w:pPr>
              <w:jc w:val="right"/>
              <w:spacing w:after="0"/>
              <w:rPr>
                <w:sz w:val="20"/>
                <w:szCs w:val="20"/>
                <w:color w:val="auto"/>
              </w:rPr>
            </w:pPr>
            <w:r>
              <w:rPr>
                <w:rFonts w:ascii="Arial" w:cs="Arial" w:eastAsia="Arial" w:hAnsi="Arial"/>
                <w:sz w:val="18"/>
                <w:szCs w:val="18"/>
                <w:color w:val="auto"/>
              </w:rPr>
              <w:t>$439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March 31, 2010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2011</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207</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2013</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405</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366</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current portion</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184</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as follows: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5,501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3,148</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r>
      <w:tr>
        <w:trPr>
          <w:trHeight w:val="222"/>
        </w:trPr>
        <w:tc>
          <w:tcPr>
            <w:tcW w:w="716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16,768</w:t>
            </w: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operating leases are subject to renewal periodically and have scheduled rent increases. The Company accounts for scheduled rent on a straight line basis over the lease period. Rent expense under both cancelable and non-cancelable operating leases was $1,848 and $1,257 for the three months ended March 31, 2010 and 2009, respectively. Deferred rent as of March 31, 2010 and December 31, 2009 was $1,779 and $1,437, respectively, and is included in “Accrued expenses and other current liabilities” in the unaudited consolidated balance sheet as of March 31, 2010 and the audited balance sheet as of December 31, 2009.</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recorded income tax expense of $1,877 and $263 for the three months ended March 31, 2010 and 2009, respectively. The effective rate of taxes attributable to continuing operations was 25.0% and 8.0% for the three months ended March 31, 2010 and 2009, respectively.</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Certain units of the Company’s Indian subsidiaries qualify for an exemption from taxable income under Section 10A or 10B of the Indian Income Tax Act, because their profits are attributable to work performed in Export Processing Zones. This exemption is available for a period of ten consecutive years beginning with the financial year in which the entity begins to manufacture or produce eligible goods and services and originally expired on March 31, 2010. In July 2009, the Indian government extended the tax holiday period by one year from March 31, 2010 to March 31, 2011. The tax holiday period for some of the units of the Company expired on April 1, 2010 and any profits from such units will be fully taxable at the Indian statutory rate, which is 33.22%, resulting in an increase in the overall effective tax rate of the Company.</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March 31, 2010, the Company performed an analysis of the deferred tax asset valuation allowance for certain units of its Indian subsidiaries and net operating loss carry forward for its domestic entities. Based on this analysis, the Company continues to record a valuation allowance on deferred tax assets pertaining to such units of the Company’s subsidiaries for which the tax holiday period is currently scheduled to expire on April 1, 2011 and the deferred tax assets on net operating loss carry forwards. The valuation allowance as of March 31, 2010 and December 31, 2009 was approximately $2,406 and $2,254, respectively.</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March 31, 2010 and December 31, 2009, deferred income taxes related to the MAT were approximately $5,009 and $4,269, respectively.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No. 740, “</w:t>
      </w:r>
      <w:r>
        <w:rPr>
          <w:rFonts w:ascii="Arial" w:cs="Arial" w:eastAsia="Arial" w:hAnsi="Arial"/>
          <w:sz w:val="16"/>
          <w:szCs w:val="16"/>
          <w:i w:val="1"/>
          <w:iCs w:val="1"/>
          <w:color w:val="auto"/>
        </w:rPr>
        <w:t>Income Taxes</w:t>
      </w:r>
      <w:r>
        <w:rPr>
          <w:rFonts w:ascii="Arial" w:cs="Arial" w:eastAsia="Arial" w:hAnsi="Arial"/>
          <w:sz w:val="16"/>
          <w:szCs w:val="16"/>
          <w:color w:val="auto"/>
        </w:rPr>
        <w:t>” (“ASC No. 740”)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activity related to the gross unrecognized tax benefits from January 1, 2010 through March 31, 2010:</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$4,156</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Increases related to prior year tax positions</w:t>
            </w:r>
          </w:p>
        </w:tc>
        <w:tc>
          <w:tcPr>
            <w:tcW w:w="500" w:type="dxa"/>
            <w:vAlign w:val="bottom"/>
          </w:tcPr>
          <w:p>
            <w:pPr>
              <w:spacing w:after="0"/>
              <w:rPr>
                <w:sz w:val="18"/>
                <w:szCs w:val="18"/>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related to prior year tax positions</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Increases related to current year tax positions</w:t>
            </w: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Balance as of March 31, 2010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5,306</w:t>
            </w:r>
          </w:p>
        </w:tc>
      </w:tr>
      <w:tr>
        <w:trPr>
          <w:trHeight w:val="20"/>
        </w:trPr>
        <w:tc>
          <w:tcPr>
            <w:tcW w:w="7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March 31, 2010 of $5,306, if recognized, would impact the effective tax rate.</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recognized interest and penalties of $80 during the three months ended March 31, 2010. The unrecognized tax benefits may increase or decrease in the next 12 months depending on the Company’s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7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r>
      <w:tr>
        <w:trPr>
          <w:trHeight w:val="142"/>
        </w:trPr>
        <w:tc>
          <w:tcPr>
            <w:tcW w:w="7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2"/>
        </w:trPr>
        <w:tc>
          <w:tcPr>
            <w:tcW w:w="72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1,828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1,539</w:t>
            </w: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459" w:right="2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Expected life (years)</w:t>
            </w:r>
          </w:p>
        </w:tc>
        <w:tc>
          <w:tcPr>
            <w:tcW w:w="420" w:type="dxa"/>
            <w:vAlign w:val="bottom"/>
          </w:tcPr>
          <w:p>
            <w:pPr>
              <w:jc w:val="right"/>
              <w:spacing w:after="0"/>
              <w:rPr>
                <w:sz w:val="20"/>
                <w:szCs w:val="20"/>
                <w:color w:val="auto"/>
              </w:rPr>
            </w:pPr>
            <w:r>
              <w:rPr>
                <w:rFonts w:ascii="Arial" w:cs="Arial" w:eastAsia="Arial" w:hAnsi="Arial"/>
                <w:sz w:val="18"/>
                <w:szCs w:val="18"/>
                <w:color w:val="auto"/>
              </w:rPr>
              <w:t>5.33</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0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0"/>
              </w:rPr>
              <w:t>Aggregate</w:t>
            </w: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Life(years)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3,188,066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21,999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Granted</w:t>
            </w:r>
          </w:p>
        </w:tc>
        <w:tc>
          <w:tcPr>
            <w:tcW w:w="2740" w:type="dxa"/>
            <w:vAlign w:val="bottom"/>
            <w:gridSpan w:val="3"/>
          </w:tcPr>
          <w:p>
            <w:pPr>
              <w:jc w:val="right"/>
              <w:ind w:right="320"/>
              <w:spacing w:after="0"/>
              <w:rPr>
                <w:sz w:val="20"/>
                <w:szCs w:val="20"/>
                <w:color w:val="auto"/>
              </w:rPr>
            </w:pPr>
            <w:r>
              <w:rPr>
                <w:rFonts w:ascii="Arial" w:cs="Arial" w:eastAsia="Arial" w:hAnsi="Arial"/>
                <w:sz w:val="18"/>
                <w:szCs w:val="18"/>
                <w:color w:val="auto"/>
              </w:rPr>
              <w:t>60,069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(23,935)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7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(6,740)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1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3,217,460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18,278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2010</w:t>
            </w:r>
          </w:p>
        </w:tc>
        <w:tc>
          <w:tcPr>
            <w:tcW w:w="1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1,208,351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6,386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2010</w:t>
            </w:r>
          </w:p>
        </w:tc>
        <w:tc>
          <w:tcPr>
            <w:tcW w:w="1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3,735,219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unrecognized compensation cost for unvested options as of March 31, 2010 is $8,226, which is expected to be expensed over a weighted average period of 2.26 years. The weighted-average fair value of options granted during the three months ended March 31, 2010 and 2009 was $7.44 and $3.42, respectively. The total fair value of shares vested during the three months ended March 31, 2010 is $1,276.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100" w:type="dxa"/>
            <w:vAlign w:val="bottom"/>
            <w:gridSpan w:val="6"/>
          </w:tcPr>
          <w:p>
            <w:pPr>
              <w:ind w:left="380"/>
              <w:spacing w:after="0"/>
              <w:rPr>
                <w:sz w:val="20"/>
                <w:szCs w:val="20"/>
                <w:color w:val="auto"/>
              </w:rPr>
            </w:pPr>
            <w:r>
              <w:rPr>
                <w:rFonts w:ascii="Arial" w:cs="Arial" w:eastAsia="Arial" w:hAnsi="Arial"/>
                <w:sz w:val="14"/>
                <w:szCs w:val="14"/>
                <w:b w:val="1"/>
                <w:bCs w:val="1"/>
                <w:color w:val="auto"/>
              </w:rPr>
              <w:t>Restricted Stock</w:t>
            </w: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w w:val="96"/>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Intrinsic</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379,810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21.78</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423,950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23.71</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12.93</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341,085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451,950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2010, unrecognized compensation cost of $12,841 is expected to be expensed over a weighted average period of 3.0 years.</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provides services to Duane Reade Holdings, Inc., a New York City drugstore chain. Duane Reade Holdings, Inc. is indirectly owned by entities related to the Oak Hill Partnerships, one of the Company’s significant stockholders. The Company recognized revenues of approximately $16 and $57 during the three months ended March 31, 2010 and 2009, respectively, for fees and expense reimbursements from Duane Reade Holdings, Inc. At March 31, 2010 and December 31, 2009, the Company had an account receivable of $5 and $43, respectively, related to these services.</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provides services to Oak Hill Capital Partners, an affiliate of the Oak Hill Partnerships, one of the Company’s significant stockholders. The Company recognized revenues of approximately $16 and $0 during the three months ended March 31, 2010 and 2009, respectively. At March 31, 2010 and December 31, 2009, the Company had an account receivable of $11 and $13, respectively, related to these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2009</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$ 38,582</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26,898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6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$ 54,489</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40,986</w:t>
            </w: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r>
      <w:tr>
        <w:trPr>
          <w:trHeight w:val="346"/>
        </w:trPr>
        <w:tc>
          <w:tcPr>
            <w:tcW w:w="67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300" w:type="dxa"/>
            <w:vAlign w:val="bottom"/>
            <w:gridSpan w:val="3"/>
          </w:tcPr>
          <w:p>
            <w:pPr>
              <w:ind w:left="5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6780" w:type="dxa"/>
            <w:vAlign w:val="bottom"/>
          </w:tcPr>
          <w:p>
            <w:pPr>
              <w:spacing w:after="0"/>
              <w:rPr>
                <w:sz w:val="14"/>
                <w:szCs w:val="1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2009</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India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$ 23,055</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18,768</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Philippines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2,984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2"/>
        </w:trPr>
        <w:tc>
          <w:tcPr>
            <w:tcW w:w="67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$ 28,234</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23,964</w:t>
            </w: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240" w:right="8660" w:hanging="232"/>
        <w:spacing w:after="0" w:line="417" w:lineRule="auto"/>
        <w:tabs>
          <w:tab w:leader="none" w:pos="275"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March 31, 2010, the Company had committed to spend approximately $3,132 under agreements to purchase fixed assets. This amount is net of advances paid in respect of these purchases.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delivery centers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has also provided the Company with certain incentives on the import of capital goods. Exl Philippines has an export obligation of $13,100 during the three year period ending March 2011, which obligation has been fulfilled.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assessment orders from the Indian tax authorities with respect to their audit of certain of the Company’s subsidiaries. The Indian tax authorities are examining income tax returns for other tax years.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as of March 31, 2010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Demanded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7200" w:type="dxa"/>
            <w:vAlign w:val="bottom"/>
            <w:vMerge w:val="restart"/>
          </w:tcPr>
          <w:p>
            <w:pPr>
              <w:ind w:left="346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(Including</w:t>
            </w: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Guarantees</w:t>
            </w:r>
          </w:p>
        </w:tc>
        <w:tc>
          <w:tcPr>
            <w:tcW w:w="0" w:type="dxa"/>
            <w:vAlign w:val="bottom"/>
          </w:tcPr>
          <w:p>
            <w:pPr>
              <w:spacing w:after="0"/>
              <w:rPr>
                <w:sz w:val="1"/>
                <w:szCs w:val="1"/>
                <w:color w:val="auto"/>
              </w:rPr>
            </w:pPr>
          </w:p>
        </w:tc>
      </w:t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7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Interest)</w:t>
            </w:r>
          </w:p>
        </w:tc>
        <w:tc>
          <w:tcPr>
            <w:tcW w:w="2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79"/>
              </w:rPr>
              <w:t>Deposited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2003-04</w:t>
            </w:r>
          </w:p>
        </w:tc>
        <w:tc>
          <w:tcPr>
            <w:tcW w:w="74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7"/>
              </w:rPr>
              <w:t>The assessment order alleges that the transfer price we applied to transactions between EXL India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ExlService.com, Inc. (“EXL Inc.”) in the 2003-04 tax year was not appropriate and also disallows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certain expenses claimed as tax deductible by EXL India.</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8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2004-05</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w w:val="87"/>
              </w:rPr>
              <w:t>The assessment order alleges that the transfer price we applied to transactions between EXL India and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w w:val="88"/>
              </w:rPr>
              <w:t>EXL Inc. for the 2004-05 tax year was not appropriate and also disallows certain expenses claimed as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tax deductible by EXL India.</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2,099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2005-06</w:t>
            </w: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The assessment order alleges that the transfer price we applied to transactions between EXL India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EXL Inc. for the 2005-06 tax year was not appropriate and also disallows certain expenses claimed as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deductible by EXL India.</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1,949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8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2003-04</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3,996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1,559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2004-05</w:t>
            </w:r>
          </w:p>
        </w:tc>
        <w:tc>
          <w:tcPr>
            <w:tcW w:w="7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2005-06</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(other than amounts deposited with the Indian government or in connection with bank guarantees). The Company does not expect any impact from these assessments on its future income tax expense. In order to resolve the outstanding transfer pricing and permanent establishment tax disputes with the Indian tax authorities, the Company has filed requests with the competent authorities in the U.S. to invoke a Mutual Agreement Procedure (“MAP”), under the United States – India Tax Treaty. As a result of commencing the MAP, the competent authorities in the U.S. will work with the competent authorities in India to propose a resolution to the outstanding tax disputes. The proposed resolution is not binding on the Company. As required by the MAP, the Company obtained bank guarantees in the amounts set forth above to stop the collection of the outstanding tax demands and interest by the Indian tax authorities. If additional assessment orders are received for subsequent years, the Company may invoke the MAP for such orders and would be required to obtain additional bank guarantees.</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$8,218 and $7,770 as of March 31, 2010 and December 31, 2009, respectively, are included in “Other assets” and amounts deposited for bank guarantees aggregating to $6,580 and $2,847 as of March 31, 2010 and December 31, 2009, respectively, are included in “Restricted cash” in the Company’s unaudited consolidated balance sheet as of March 31, 2010 and the audited consolidated balance sheet as of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6" w:lineRule="exact"/>
        <w:rPr>
          <w:sz w:val="20"/>
          <w:szCs w:val="20"/>
          <w:color w:val="auto"/>
        </w:rPr>
      </w:pPr>
    </w:p>
    <w:p>
      <w:pPr>
        <w:jc w:val="both"/>
        <w:ind w:right="940" w:firstLine="456"/>
        <w:spacing w:after="0" w:line="259" w:lineRule="auto"/>
        <w:rPr>
          <w:sz w:val="20"/>
          <w:szCs w:val="20"/>
          <w:color w:val="auto"/>
        </w:rPr>
      </w:pPr>
      <w:r>
        <w:rPr>
          <w:rFonts w:ascii="Arial" w:cs="Arial" w:eastAsia="Arial" w:hAnsi="Arial"/>
          <w:sz w:val="18"/>
          <w:szCs w:val="18"/>
          <w:color w:val="auto"/>
        </w:rPr>
        <w:t>On May 1, 2010, the Company acquired a 100% stake in PDMA, Inc.,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health and annuity insurers globally. The purchase consideration for PDMA, Inc., which was paid in cash, was approximately $14.1 million, net of working capital adjustments.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2009.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principally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banking and financial services, transportation and logistics, and travel sectors.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the United States and the United Kingdom, and our business development team, which operates out of Noida, India. We currently operate eleven operations centers in India, one operations center in the Philippines, one operations center in Cluj, Romania and one operations center in the Czech Republic. We are also in the process of establishing new operations centers in Noida and Jaipur, India.</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July 3, 2009, we acquired a 100% stake in Schneider Logistics Europe S.R.O. (“Schneider S.R.O.”) which is located in the Czech Republic and which provides complex transaction processing services to its clients in Europe and the U.S. The acquisition provided us with multi-lingual delivery capabilities and a cost-effective delivery location in Eastern Europe.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1, 2010, we acquired the operations of the American Express Global Travel Service Center, a business unit of American Express located in Gurgaon, India, that provides the travel-related business process outsourcing services of American Express. The purchase price of the transaction, which was paid in cash, was approximately $29 million.</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generate revenues principally from contracts to provide outsourcing and transformation services. For the three months ended March 31, 2010, we had total revenues of $54.5 million compared to total revenues of $41.0 million in the three months ended March 31, 2009, an increase of $13.5 million or 32.9%. Revenues from outsourcing services were higher by $8.2 million in the three months ended March 31, 2010 compared to the three months ended March 31, 2009, primarily due to revenues from our acquisitions of Schneider S.R.O of $1.6 million and the American Express Global Travel Service Center of $1.8 million, net volume increases within existing clients of approximately $3.7 million and an increase of approximately $1.1 million due to the appreciation of the Indian rupee against the U.S. dollar and the U.K. pound sterling in the three months ended March 31, 2010 compared to the three months ended March 31, 2009. Revenues from transformation services were higher by $5.3 million during the three months ended March 31, 2010 compared to the three months ended March 31, 2009, primarily due to a combination of increased revenues in recurring or annuity analytics services and an increase in project-based engagements both in our analytics and risk management practices. We believe this reflects increased spending by our clients for analytics services, particularly in the areas of customer management, process improvement and risk management, as compared to the previous year.</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70.8% and 26.3%, respectively, of our total revenues for the three months ended March 31, 2010 and approximately 65.6% and 34.1%, respectively, of our total revenues for the three months ended March 31, 2009.</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March 31, 2010 and 2009, our total revenues from our three largest clients were $23.7 million and $18.8 million, respectively, accounting for 43.5% and 45.8% of our total revenues, respectively, during these periods.</w:t>
      </w:r>
    </w:p>
    <w:p>
      <w:pPr>
        <w:sectPr>
          <w:pgSz w:w="11900" w:h="16838" w:orient="portrait"/>
          <w:cols w:equalWidth="0" w:num="1">
            <w:col w:w="11420"/>
          </w:cols>
          <w:pgMar w:left="240" w:top="459" w:right="239" w:bottom="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provide services to Centrica, which represented $9.5 million, or 17.5%, of our total revenues for the three months ended March 31, 2010 and $8.7 million, or 21.2% of our total revenues for the three months ended March 31, 2009, under an agreement that is scheduled to expire in April 2012. Centrica may terminate the agreement without cause upon three months prior notice and payment of a breakup fee.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provide services to Travelers, which represented $8.5 million, or 15.5%, of our total revenues for the three months ended March 31, 2010 and $5.0 million, or 12.3% of our total revenues for the three months ended March 31, 2009, under a services agreement. Travelers may terminate the services agreement, or any work assignment or work order thereunder, each of which expires in December 2013, without cause upon 60 days prior notice.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derived revenues from four and two new clients for our services, in the three months ended March 31, 2010 and 2009, respectively. Although we are increasing and diversifying our customer base, we expect in the near future that a significant portion of our revenues will continue to be contributed by a limited number of large clients.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March 31, 2010 and 2009, 4.6% and 3.7%,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Our management has observed in recent periods a shift in industry pricing models toward transaction-based pricing and other pricing models. We believe this trend will continue and we have begun to use transaction-based pricing models with some of our current clients and are seeking to move certain other clients from a billing rate model to a transaction-based pricing model. Transaction-based pricing places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client-friendly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to the extent we are required to modify the terms of our relationship with such clients.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our Annual Report on Form 10-K for the year ended December 31, 2009.</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216"/>
              <w:spacing w:after="0" w:line="142" w:lineRule="exact"/>
              <w:rPr>
                <w:sz w:val="20"/>
                <w:szCs w:val="20"/>
                <w:color w:val="auto"/>
              </w:rPr>
            </w:pPr>
            <w:r>
              <w:rPr>
                <w:rFonts w:ascii="Arial" w:cs="Arial" w:eastAsia="Arial" w:hAnsi="Arial"/>
                <w:sz w:val="14"/>
                <w:szCs w:val="14"/>
                <w:b w:val="1"/>
                <w:bCs w:val="1"/>
                <w:color w:val="auto"/>
                <w:w w:val="90"/>
              </w:rPr>
              <w:t>(in million)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Revenues(1)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Selling and marketing expenses(3)</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expenses(4)</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income/(expense):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Revenues include reimbursable expenses of $2.5 million and $1.5 million for the three months ended March 31, 2010 and 2009, respectively.</w:t>
      </w:r>
    </w:p>
    <w:p>
      <w:pPr>
        <w:spacing w:after="0" w:line="38" w:lineRule="exact"/>
        <w:rPr>
          <w:rFonts w:ascii="Arial" w:cs="Arial" w:eastAsia="Arial" w:hAnsi="Arial"/>
          <w:sz w:val="16"/>
          <w:szCs w:val="16"/>
          <w:color w:val="auto"/>
        </w:rPr>
      </w:pPr>
    </w:p>
    <w:p>
      <w:pPr>
        <w:jc w:val="both"/>
        <w:ind w:left="460" w:right="2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revenues includes $0.4 million and $0.3 million for the three months ended March 31, 2010 and 2009, respectively, as non-cash amortization of stock compensation expense relating to the issuance of equity awards to employees directly involved in providing services to our clients as described in Note 12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$1.4 million and $1.2 million for the three months ended March 31, 2010 and 2009, respectively, as non-cash amortization of stock compensation expense relating to the issuance of equity awards to our non-operations staff as described in Note 12 to our Unaudited Consolidated Financial Statements contained herein.</w:t>
      </w:r>
    </w:p>
    <w:p>
      <w:pPr>
        <w:spacing w:after="0" w:line="1"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 includes $0.2 million and $0 million for the three months ended March 31, 2010 and 2009, respectively, of amortization of intangibles as described in Note 5 to our Unaudited Consolidated Financial Statements contained herein.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2010 Compared to Three Months Ended March 31, 2009</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increased 32.9% from $41.0 million for the three months ended March 31, 2009 to $54.5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2010. Revenues from outsourcing services increased from $33.4 million for the three months ended March 31, 2009 to $41.6 million for the three months ended March 31, 2010. The increase is primarily driven by revenues from our acquisitions of Schneider S.R.O of $1.6 million and American Express Global Travel Service Center of $1.8 million, net volume increases within existing clients aggregating to $3.7 million and revenues of $1.1 million due to the appreciation of the Indian rupee against the U.S. dollar and the U.K. pound sterling during the three months ended March 31, 2010 compared to the three months ended March 31, 2009.</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from transformation services increased from $7.6 million for the three months ended March 31, 2009 to $12.9 million for the three months ended March 31, 2010. The increase is primarily due to a combination of increased revenues in recurring or annuity analytics services and an increase in project-based engagements both in our analytics and risk management practices. Revenues from new clients for transformation services were $0.2 million and $0.1 million during the three months ended March 31, 2010 and 2009, respectively.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29.3% from $24.4 million for the three months ended March 31, 2009 to $31.5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2010. Salaries and personnel expenses increased from $17.5 million for the three months ended March 31, 2009 to $22.7 million for the three months ended March 31, 2010, primarily due to increases in employee-related costs of $3.7 million, including $2.1 million as a result of new personnel at our new operations centers in Olomouc, the Czech Republic, Cluj, Romania, and Gurgaon, India and appreciation of the Indian rupee against the U.S. dollar, resulting in an increase in compensation expenses of $1.5 million. Other operating costs increased from $6.9 million for the three months ended March 31, 2009 to $8.8 million for the three months ended March 31, 2010, primarily due to an increase in reimbursable expenses of $1.1 million, resulting in an increase in revenues, and an increase in facilities operating expenses by $0.7 million, primarily due to the new operating centers mentioned above. As a percentage of revenues, cost of revenues decreased from 59.4% for the three months ended March 31, 2009 to 57.8% for the three months ended March 31, 2010.</w:t>
      </w:r>
    </w:p>
    <w:p>
      <w:pPr>
        <w:spacing w:after="0" w:line="11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38.3% from $16.6 million for the three months ended March 31, 2009 to $23.0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2010. The increase in gross profit was primarily due to an increase in revenues of $13.5 million, offset by an increase in cost of revenues of $7.1 million. Gross profit as a percentage of revenues increased from 40.6% for the three months ended March 31, 2009 to 42.2% for the three months ended March 31, 2010, primarily due to increase in revenues as mentioned above.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35.6% from $9.9 million for the three months ended March 31, 2009 to $13.4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2010. The increase in SG&amp;A expenses is primarily due to an increase in salaries and personnel expenses of $2.1 million, additional provision for bad and doubtful debts of $0.4 million during the three months ended March 31, 2010, acquisition-related costs of $0.2 million and appreciation of the Indian rupee against the U.S. dollar, resulting in an increase in costs of $0.4 million. As a percentage of revenues, SG&amp;A increased marginally from 24.2% for the three months ended March 31, 2009 to 24.7% for the three months ended March 31, 2010.</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26.4% from $2.4 million for the three months ended March 31, 2009 to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2010. The increase is primarily due to depreciation related to our new operations centers in Olomouc, the Czech Republic, Cluj, Romania, and Gurgaon, India, of $0.2 million and appreciation of the Indian rupee against the U.S. dollar, resulting in an increase in costs of $0.2 million during the three months ended March 31, 2010 compared to the three months ended March 31, 2009. As we add more operations centers, we expect that depreciation expense will increase to reflect the additional investment in equipment and operations centers necessary to meet our service requirements.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51.4% from $4.3 million for the three months ended March 31, 2009 to $6.5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2010. As a percentage of revenues, income from operations increased from 10.4% for the three months ended March 31, 2009 to 11.9% for the three months ended March 31, 2010. The increase in income from operations was primarily due to an increase in gross profit by $6.4 million, offset by an increase in operating expenses of $4.2 million as mentioned above.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Other Income/(Expense). </w:t>
      </w:r>
      <w:r>
        <w:rPr>
          <w:rFonts w:ascii="Arial" w:cs="Arial" w:eastAsia="Arial" w:hAnsi="Arial"/>
          <w:sz w:val="16"/>
          <w:szCs w:val="16"/>
          <w:color w:val="auto"/>
        </w:rPr>
        <w:t>Other income/(expense) is comprised of foreign exchange gains and losses, interest income, interest expense and other.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increased from ($1.0) million for the three months ended March 31, 2009 to $1.0 million for the three months ended March 31, 2010, primarily as a result of net foreign exchange gain of $0.6 million during the three months ended March 31, 2010 compared to the net foreign exchange losses of $1.3 million during the three months ended March 31, 2009 attributable to movement of the Indian rupee against the U.S. dollar and the U.K. pound sterling relative to our foreign exchange hedged positions. The average exchange rate of the Indian rupee against the U.S. dollar was 45.72 during the three months ended March 31, 2010 compared to 50.24 during the three months ended March 31, 2009.</w:t>
      </w:r>
    </w:p>
    <w:p>
      <w:pPr>
        <w:sectPr>
          <w:pgSz w:w="11900" w:h="16838" w:orient="portrait"/>
          <w:cols w:equalWidth="0" w:num="1">
            <w:col w:w="11420"/>
          </w:cols>
          <w:pgMar w:left="240" w:top="459" w:right="239" w:bottom="1440" w:gutter="0" w:footer="0" w:header="0"/>
        </w:sectPr>
      </w:pPr>
    </w:p>
    <w:bookmarkStart w:id="19" w:name="page20"/>
    <w:bookmarkEnd w:id="19"/>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$0.3 million for the three months ended March 31, 2009 to $1.9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2010. The effective rate of taxes increased significantly from 8.0% for the three months ended March 31, 2009 to 25.0% for the three months ended March 31, 2010. Refer to Note 11 to the Unaudited Consolidated Financial Statements for further details.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Income/(Loss) from Continuing Operations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from continuing operations increased from $3.0 million for the three months ended March 31,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$5.6 million for the three months ended March 31, 2010, primarily due to an increase in operating income of $2.2 million and other income of $2.0 million, partially offset by an increase in the provision for income taxes of $1.6 million. As a percentage of revenues, income from continuing operations increased from 7.4% for the three months ended March 31, 2009 to 10.3% for the three months ended March 31, 2010.</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131"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2010, we had $101.5 million in cash, cash equivalents and short-term investments.</w:t>
      </w:r>
    </w:p>
    <w:p>
      <w:pPr>
        <w:spacing w:after="0" w:line="17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Cash flows used for operating activities decreased from $1.2 million in the three months ended March 31, 2009 to $0.8 million in the three months ended March 31, 2010. Cash flows from net income adjusted for non-cash items increased by $4.4 million, offset by a decrease in cash flows from changes in working capital by $4.0 million. Changes in working capital arose primarily from an increase in restricted cash of $3.6 million as a result of the additional bank guarantee provided in favor of the Government of India as part of the MAP proceedings.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Cash flows used for investing activities increased from $3.6 million in the three months ended March 31, 2009 to $32.7 million in the three months ended March 31, 2010. The increase is primarily due to the payment of the purchase consideration of approximately $29 million for the acquisition of the American Express Global Travel Service Center in Gurgaon, India, during the three months ended March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flows provided by financing activities were insignificant during the three months ended March 31, 2010 and 2009.</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out our facilities and purchase of telecommunications equipment and computer hardware and software in connection with managing client operations. We incurred approximately $5.4 million of capital expenditures in the three months ended March 31, 2010. We expect to incur capital expenditures of approximately $15 million to $17 million in the remainder of 2010 primarily to meet the growth requirements of our clients, including additions to our existing facilities and establishing new operations centers in Noida, India and Jaipur, India as well as to improve our internal technology. The timing and volume of such capital expenditures in the future will be affected by new client contracts we may enter into or the expansion of business under our existing client contracts.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As required by the MAP, we obtained bank guarantees of approximately $2.9 million in April 2009 and approximately $3.6 million in January 2010, and might need to obtain additional bank guarantees, in favor of the Government of India to stop the collection of the outstanding tax demands and interest for various tax years. Refer to Note 15 to our Unaudited Consolidated Financial Statements contained 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we have significant growth through acquisitions, we may need to obtain additional financing.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2010 and December 31, 2009,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March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ind w:left="100"/>
              <w:spacing w:after="0"/>
              <w:rPr>
                <w:sz w:val="20"/>
                <w:szCs w:val="20"/>
                <w:color w:val="auto"/>
              </w:rPr>
            </w:pPr>
            <w:r>
              <w:rPr>
                <w:rFonts w:ascii="Arial" w:cs="Arial" w:eastAsia="Arial" w:hAnsi="Arial"/>
                <w:sz w:val="14"/>
                <w:szCs w:val="14"/>
                <w:b w:val="1"/>
                <w:bCs w:val="1"/>
                <w:color w:val="auto"/>
                <w:w w:val="97"/>
              </w:rPr>
              <w:t>Payment Due by Period (in millions)</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68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1"/>
                <w:szCs w:val="11"/>
                <w:color w:val="auto"/>
              </w:rPr>
            </w:pPr>
          </w:p>
        </w:tc>
        <w:tc>
          <w:tcPr>
            <w:tcW w:w="7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1 year</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8"/>
              </w:rPr>
              <w:t>5 years</w:t>
            </w:r>
          </w:p>
        </w:tc>
        <w:tc>
          <w:tcPr>
            <w:tcW w:w="3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w w:val="83"/>
              </w:rPr>
              <w:t>millions)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$ 0.2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840" w:type="dxa"/>
            <w:vAlign w:val="bottom"/>
            <w:gridSpan w:val="3"/>
          </w:tcPr>
          <w:p>
            <w:pPr>
              <w:jc w:val="right"/>
              <w:ind w:right="92"/>
              <w:spacing w:after="0"/>
              <w:rPr>
                <w:sz w:val="20"/>
                <w:szCs w:val="20"/>
                <w:color w:val="auto"/>
              </w:rPr>
            </w:pPr>
            <w:r>
              <w:rPr>
                <w:rFonts w:ascii="Arial" w:cs="Arial" w:eastAsia="Arial" w:hAnsi="Arial"/>
                <w:sz w:val="18"/>
                <w:szCs w:val="18"/>
                <w:color w:val="auto"/>
              </w:rPr>
              <w:t>7.3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4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$ 8.7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continue to achieve the export levels within the required timeframe as they have consistently generated the required levels of export revenues.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Exl Philippines is registered as an Ecozone IT Enterprise with the Philippines Economic Zone Authority. Exl Philippines has an export obligation of $13.1 million during the three year period ending March 2011, which obligation has been fulfilled.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our unaudited consolidated financial statements. See Note 6 to our Unaudited Consolidated Financial Statements for further details.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September 2009, the FASB issued Update No. 2009-13, “ </w:t>
      </w:r>
      <w:r>
        <w:rPr>
          <w:rFonts w:ascii="Arial" w:cs="Arial" w:eastAsia="Arial" w:hAnsi="Arial"/>
          <w:sz w:val="16"/>
          <w:szCs w:val="16"/>
          <w:i w:val="1"/>
          <w:iCs w:val="1"/>
          <w:color w:val="auto"/>
        </w:rPr>
        <w:t>Multiple-Deliverable Revenue Arrangements—a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Force </w:t>
      </w:r>
      <w:r>
        <w:rPr>
          <w:rFonts w:ascii="Arial" w:cs="Arial" w:eastAsia="Arial" w:hAnsi="Arial"/>
          <w:sz w:val="16"/>
          <w:szCs w:val="16"/>
          <w:color w:val="auto"/>
        </w:rPr>
        <w:t>“ (“ASU 2009-13”). It updates the existing multiple-element revenue arrangements guidance currently included under ASC topic 605-25, which originated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the guidance in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(“EITF 00-21”). The revised guidance primarily provides two significant changes: first, it eliminates the need for objective and reliable evidence of the fair value for the undelivered element in order for a delivered item to be treated as a separate unit of accounting, and second, it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We have chosen to adopt this new guidance with effect from January 1, 2011. Currently there is no impact from the adoption of ASU 2009-13 as we currently do not have any multiple-deliverable revenue arrangements.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three months ended March 31, 2010,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March 31, 2010. Based upon that evaluation, the CEO and CFO have concluded that, as of March 31, 2010,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2010,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15 in the Notes to Unaudited Consolidated Financial Statements contained herein for the information regarding our ongoing legal proceedings.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2009 the risk factors which materially affect our business, financial condition or results of operations. You should carefully consider the “Risk Factors” set forth in our Annual Report on Form 10-K for the year ended December 31, 2009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2010 Restricted Stock Unit Agreement 1 (incorporated by reference to Exhibit 99.1 to the Current Report on Form 8-K filed on February 4,</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2010 Restricted Stock Unit Agreement 2 (incorporated by reference to Exhibit 99.2 to the Current Report on Form 8-K filed on February 4,</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2010 Restricted Stock Unit Agreement 3 (incorporated by reference to Exhibit 99.3 to the Current Report on Form 8-K filed on February 4,</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2010 Restricted Stock Unit Agreement 4 (incorporated by reference to Exhibit 99.4 to the Current Report on Form 8-K filed on February 4,</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w:t>
      </w:r>
    </w:p>
    <w:p>
      <w:pPr>
        <w:spacing w:after="0" w:line="111"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240" w:top="459" w:right="8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pacing w:after="0" w:line="212"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pacing w:after="0" w:line="21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pacing w:after="0" w:line="212"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2010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2010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March 31, 2010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Vishal Chhibbar</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5"/>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2019-12-10T23:12:21Z</dcterms:created>
  <dcterms:modified xsi:type="dcterms:W3CDTF">2019-12-10T23:12:21Z</dcterms:modified>
</cp:coreProperties>
</file>