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Bhalla Vikas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11000</w:t>
            </w:r>
          </w:p>
        </w:tc>
        <w:tc>
          <w:tcPr>
            <w:tcW w:w="1377" w:type="dxa"/>
            <w:tcBorders/>
            <w:vAlign w:val="center"/>
          </w:tcPr>
          <w:p>
            <w:pPr>
              <w:pStyle w:val="TableContents"/>
              <w:bidi w:val="0"/>
              <w:spacing w:before="0" w:after="283"/>
              <w:jc w:val="left"/>
              <w:rPr/>
            </w:pPr>
            <w:r>
              <w:rPr/>
              <w:t>389180.00</w:t>
            </w:r>
          </w:p>
        </w:tc>
        <w:tc>
          <w:tcPr>
            <w:tcW w:w="1552" w:type="dxa"/>
            <w:tcBorders/>
            <w:vAlign w:val="center"/>
          </w:tcPr>
          <w:p>
            <w:pPr>
              <w:pStyle w:val="TableContents"/>
              <w:bidi w:val="0"/>
              <w:spacing w:before="0" w:after="283"/>
              <w:jc w:val="left"/>
              <w:rPr/>
            </w:pPr>
            <w:r>
              <w:rPr/>
              <w:t>151612499</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7162</w:t>
            </w:r>
          </w:p>
        </w:tc>
        <w:tc>
          <w:tcPr>
            <w:tcW w:w="1046" w:type="dxa"/>
            <w:tcBorders/>
            <w:vAlign w:val="center"/>
          </w:tcPr>
          <w:p>
            <w:pPr>
              <w:pStyle w:val="TableContents"/>
              <w:bidi w:val="0"/>
              <w:spacing w:before="0" w:after="283"/>
              <w:jc w:val="left"/>
              <w:rPr/>
            </w:pPr>
            <w:r>
              <w:rPr/>
              <w:t>01/27/2025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2684</w:t>
            </w:r>
          </w:p>
        </w:tc>
        <w:tc>
          <w:tcPr>
            <w:tcW w:w="1046" w:type="dxa"/>
            <w:tcBorders/>
            <w:vAlign w:val="center"/>
          </w:tcPr>
          <w:p>
            <w:pPr>
              <w:pStyle w:val="TableContents"/>
              <w:bidi w:val="0"/>
              <w:spacing w:before="0" w:after="283"/>
              <w:jc w:val="left"/>
              <w:rPr/>
            </w:pPr>
            <w:r>
              <w:rPr/>
              <w:t>02/15/2025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1154</w:t>
            </w:r>
          </w:p>
        </w:tc>
        <w:tc>
          <w:tcPr>
            <w:tcW w:w="1046" w:type="dxa"/>
            <w:tcBorders/>
            <w:vAlign w:val="center"/>
          </w:tcPr>
          <w:p>
            <w:pPr>
              <w:pStyle w:val="TableContents"/>
              <w:bidi w:val="0"/>
              <w:spacing w:before="0" w:after="283"/>
              <w:jc w:val="left"/>
              <w:rPr/>
            </w:pPr>
            <w:r>
              <w:rPr/>
              <w:t>02/16/2025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12000</w:t>
            </w:r>
          </w:p>
        </w:tc>
        <w:tc>
          <w:tcPr>
            <w:tcW w:w="1777" w:type="dxa"/>
            <w:tcBorders/>
            <w:vAlign w:val="center"/>
          </w:tcPr>
          <w:p>
            <w:pPr>
              <w:pStyle w:val="TableContents"/>
              <w:bidi w:val="0"/>
              <w:spacing w:before="0" w:after="283"/>
              <w:jc w:val="left"/>
              <w:rPr/>
            </w:pPr>
            <w:r>
              <w:rPr/>
              <w:t>317640.00</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11000</w:t>
            </w:r>
          </w:p>
        </w:tc>
        <w:tc>
          <w:tcPr>
            <w:tcW w:w="1777" w:type="dxa"/>
            <w:tcBorders/>
            <w:vAlign w:val="center"/>
          </w:tcPr>
          <w:p>
            <w:pPr>
              <w:pStyle w:val="TableContents"/>
              <w:bidi w:val="0"/>
              <w:spacing w:before="0" w:after="283"/>
              <w:jc w:val="left"/>
              <w:rPr/>
            </w:pPr>
            <w:r>
              <w:rPr/>
              <w:t>384890.00</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09/01/2026</w:t>
            </w:r>
          </w:p>
        </w:tc>
        <w:tc>
          <w:tcPr>
            <w:tcW w:w="1575" w:type="dxa"/>
            <w:tcBorders/>
            <w:vAlign w:val="center"/>
          </w:tcPr>
          <w:p>
            <w:pPr>
              <w:pStyle w:val="TableContents"/>
              <w:bidi w:val="0"/>
              <w:spacing w:before="0" w:after="283"/>
              <w:jc w:val="left"/>
              <w:rPr/>
            </w:pPr>
            <w:r>
              <w:rPr/>
              <w:t>10000</w:t>
            </w:r>
          </w:p>
        </w:tc>
        <w:tc>
          <w:tcPr>
            <w:tcW w:w="1777" w:type="dxa"/>
            <w:tcBorders/>
            <w:vAlign w:val="center"/>
          </w:tcPr>
          <w:p>
            <w:pPr>
              <w:pStyle w:val="TableContents"/>
              <w:bidi w:val="0"/>
              <w:spacing w:before="0" w:after="283"/>
              <w:jc w:val="left"/>
              <w:rPr/>
            </w:pPr>
            <w:r>
              <w:rPr/>
              <w:t>381700.00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10/01/2026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/s/ Margaret Campbell, as a duly authorized representative of Fidelity Brokerage Services LLC, as attorney-in-fact for Vikas Bhalla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3504</Characters>
  <CharactersWithSpaces>4107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