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2"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JUNE 30, 2019</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-3175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54" w:lineRule="exact"/>
        <w:rPr>
          <w:sz w:val="24"/>
          <w:szCs w:val="24"/>
          <w:color w:val="auto"/>
        </w:rPr>
      </w:pPr>
    </w:p>
    <w:tbl>
      <w:tblPr>
        <w:tblLayout w:type="fixed"/>
        <w:tblInd w:w="2080" w:type="dxa"/>
        <w:tblCellMar>
          <w:top w:w="0" w:type="dxa"/>
          <w:left w:w="0" w:type="dxa"/>
          <w:bottom w:w="0" w:type="dxa"/>
          <w:right w:w="0" w:type="dxa"/>
        </w:tblCellMar>
      </w:tblPr>
      <w:tr>
        <w:trPr>
          <w:trHeight w:val="212"/>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82-0572194</w:t>
            </w:r>
          </w:p>
        </w:tc>
      </w:tr>
      <w:tr>
        <w:trPr>
          <w:trHeight w:val="184"/>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5"/>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320 Park Avenue, 29th Floor,</w:t>
            </w:r>
          </w:p>
        </w:tc>
        <w:tc>
          <w:tcPr>
            <w:tcW w:w="1180" w:type="dxa"/>
            <w:vAlign w:val="bottom"/>
          </w:tcPr>
          <w:p>
            <w:pPr>
              <w:spacing w:after="0"/>
              <w:rPr>
                <w:sz w:val="24"/>
                <w:szCs w:val="24"/>
                <w:color w:val="auto"/>
              </w:rPr>
            </w:pPr>
          </w:p>
        </w:tc>
      </w:tr>
      <w:tr>
        <w:trPr>
          <w:trHeight w:val="257"/>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1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39"/>
        </w:trPr>
        <w:tc>
          <w:tcPr>
            <w:tcW w:w="5300" w:type="dxa"/>
            <w:vAlign w:val="bottom"/>
          </w:tcPr>
          <w:p>
            <w:pPr>
              <w:jc w:val="center"/>
              <w:ind w:right="28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1"/>
        </w:trPr>
        <w:tc>
          <w:tcPr>
            <w:tcW w:w="5300" w:type="dxa"/>
            <w:vAlign w:val="bottom"/>
          </w:tcPr>
          <w:p>
            <w:pPr>
              <w:jc w:val="right"/>
              <w:ind w:right="1083"/>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1180" w:type="dxa"/>
            <w:vAlign w:val="bottom"/>
          </w:tcPr>
          <w:p>
            <w:pPr>
              <w:spacing w:after="0"/>
              <w:rPr>
                <w:sz w:val="22"/>
                <w:szCs w:val="22"/>
                <w:color w:val="auto"/>
              </w:rPr>
            </w:pPr>
          </w:p>
        </w:tc>
      </w:tr>
      <w:tr>
        <w:trPr>
          <w:trHeight w:val="210"/>
        </w:trPr>
        <w:tc>
          <w:tcPr>
            <w:tcW w:w="5300" w:type="dxa"/>
            <w:vAlign w:val="bottom"/>
          </w:tcPr>
          <w:p>
            <w:pPr>
              <w:jc w:val="center"/>
              <w:ind w:left="18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80" w:type="dxa"/>
            <w:vAlign w:val="bottom"/>
          </w:tcPr>
          <w:p>
            <w:pPr>
              <w:spacing w:after="0"/>
              <w:rPr>
                <w:sz w:val="18"/>
                <w:szCs w:val="18"/>
                <w:color w:val="auto"/>
              </w:rPr>
            </w:pPr>
          </w:p>
        </w:tc>
      </w:tr>
    </w:tbl>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61" w:lineRule="exact"/>
        <w:rPr>
          <w:sz w:val="24"/>
          <w:szCs w:val="24"/>
          <w:color w:val="auto"/>
        </w:rPr>
      </w:pPr>
    </w:p>
    <w:p>
      <w:pPr>
        <w:jc w:val="both"/>
        <w:ind w:right="540" w:firstLine="324"/>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3" w:lineRule="exact"/>
        <w:rPr>
          <w:sz w:val="24"/>
          <w:szCs w:val="24"/>
          <w:color w:val="auto"/>
        </w:rPr>
      </w:pPr>
    </w:p>
    <w:p>
      <w:pPr>
        <w:ind w:right="400" w:firstLine="324"/>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3" w:lineRule="exact"/>
        <w:rPr>
          <w:sz w:val="24"/>
          <w:szCs w:val="24"/>
          <w:color w:val="auto"/>
        </w:rPr>
      </w:pPr>
    </w:p>
    <w:p>
      <w:pPr>
        <w:ind w:firstLine="324"/>
        <w:spacing w:after="0" w:line="29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9" w:lineRule="exact"/>
        <w:rPr>
          <w:sz w:val="24"/>
          <w:szCs w:val="24"/>
          <w:color w:val="auto"/>
        </w:rPr>
      </w:pPr>
    </w:p>
    <w:p>
      <w:pPr>
        <w:jc w:val="both"/>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spacing w:after="0" w:line="219" w:lineRule="exact"/>
        <w:tabs>
          <w:tab w:leader="none" w:pos="784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153670</wp:posOffset>
            </wp:positionV>
            <wp:extent cx="717804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685800"/>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80" w:type="dxa"/>
        <w:tblCellMar>
          <w:top w:w="0" w:type="dxa"/>
          <w:left w:w="0" w:type="dxa"/>
          <w:bottom w:w="0" w:type="dxa"/>
          <w:right w:w="0" w:type="dxa"/>
        </w:tblCellMar>
      </w:tblPr>
      <w:tr>
        <w:trPr>
          <w:trHeight w:val="257"/>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740" w:type="dxa"/>
            <w:vAlign w:val="bottom"/>
            <w:tcBorders>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r>
      <w:tr>
        <w:trPr>
          <w:trHeight w:val="237"/>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bl>
    <w:p>
      <w:pPr>
        <w:spacing w:after="0" w:line="40" w:lineRule="exact"/>
        <w:rPr>
          <w:sz w:val="24"/>
          <w:szCs w:val="24"/>
          <w:color w:val="auto"/>
        </w:rPr>
      </w:pPr>
    </w:p>
    <w:p>
      <w:pPr>
        <w:sectPr>
          <w:pgSz w:w="11900" w:h="16838" w:orient="portrait"/>
          <w:cols w:equalWidth="0" w:num="1">
            <w:col w:w="11420"/>
          </w:cols>
          <w:pgMar w:left="240" w:top="441" w:right="239" w:bottom="1440" w:gutter="0" w:footer="0" w:header="0"/>
        </w:sectPr>
      </w:pPr>
    </w:p>
    <w:p>
      <w:pPr>
        <w:ind w:left="340"/>
        <w:spacing w:after="0"/>
        <w:rPr>
          <w:sz w:val="20"/>
          <w:szCs w:val="20"/>
          <w:color w:val="auto"/>
        </w:rPr>
      </w:pPr>
      <w:r>
        <w:rPr>
          <w:rFonts w:ascii="Times New Roman" w:cs="Times New Roman" w:eastAsia="Times New Roman" w:hAnsi="Times New Roman"/>
          <w:sz w:val="16"/>
          <w:szCs w:val="16"/>
          <w:color w:val="auto"/>
        </w:rPr>
        <w:t>As of July 26, 2019, there were 34,174,860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w:t>
            </w:r>
          </w:p>
        </w:tc>
        <w:tc>
          <w:tcPr>
            <w:tcW w:w="2060" w:type="dxa"/>
            <w:vAlign w:val="bottom"/>
            <w:gridSpan w:val="10"/>
            <w:vMerge w:val="restart"/>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7140" w:type="dxa"/>
            <w:vAlign w:val="bottom"/>
            <w:gridSpan w:val="11"/>
            <w:vMerge w:val="restart"/>
          </w:tcPr>
          <w:p>
            <w:pPr>
              <w:spacing w:after="0"/>
              <w:rPr>
                <w:sz w:val="19"/>
                <w:szCs w:val="19"/>
                <w:color w:val="auto"/>
              </w:rPr>
            </w:pPr>
          </w:p>
        </w:tc>
        <w:tc>
          <w:tcPr>
            <w:tcW w:w="660" w:type="dxa"/>
            <w:vAlign w:val="bottom"/>
            <w:vMerge w:val="restart"/>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10"/>
            <w:vMerge w:val="continue"/>
          </w:tcPr>
          <w:p>
            <w:pPr>
              <w:spacing w:after="0"/>
              <w:rPr>
                <w:sz w:val="21"/>
                <w:szCs w:val="21"/>
                <w:color w:val="auto"/>
              </w:rPr>
            </w:pPr>
          </w:p>
        </w:tc>
        <w:tc>
          <w:tcPr>
            <w:tcW w:w="7140" w:type="dxa"/>
            <w:vAlign w:val="bottom"/>
            <w:gridSpan w:val="11"/>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June 30, 2019 (Unaudited) and December 31,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 (Unaudited) for the Three and Six months ended June 30, 2019 and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Income/(Loss) (Unaudited) for the Three and Six months ended June 30, 2019</w:t>
              </w:r>
            </w:hyperlink>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and 2018</w:t>
              </w:r>
            </w:hyperlink>
          </w:p>
        </w:tc>
        <w:tc>
          <w:tcPr>
            <w:tcW w:w="8280" w:type="dxa"/>
            <w:vAlign w:val="bottom"/>
            <w:gridSpan w:val="17"/>
          </w:tcPr>
          <w:p>
            <w:pPr>
              <w:spacing w:after="0"/>
              <w:rPr>
                <w:sz w:val="17"/>
                <w:szCs w:val="17"/>
                <w:color w:val="auto"/>
              </w:rPr>
            </w:pPr>
          </w:p>
        </w:tc>
        <w:tc>
          <w:tcPr>
            <w:tcW w:w="660" w:type="dxa"/>
            <w:vAlign w:val="bottom"/>
          </w:tcPr>
          <w:p>
            <w:pPr>
              <w:ind w:left="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Equity (Unaudited) for the Three and Six months ended June 30, 2019 and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Consolidated Statements of Cash Flows (Unaudited) for the Six months ended June 30, 2019 and 2018</w:t>
              </w:r>
            </w:hyperlink>
          </w:p>
        </w:tc>
        <w:tc>
          <w:tcPr>
            <w:tcW w:w="460" w:type="dxa"/>
            <w:vAlign w:val="bottom"/>
            <w:tcBorders>
              <w:top w:val="single" w:sz="8" w:color="0000EE"/>
            </w:tcBorders>
          </w:tcPr>
          <w:p>
            <w:pPr>
              <w:spacing w:after="0"/>
              <w:rPr>
                <w:sz w:val="21"/>
                <w:szCs w:val="21"/>
                <w:color w:val="auto"/>
              </w:rPr>
            </w:pPr>
          </w:p>
        </w:tc>
        <w:tc>
          <w:tcPr>
            <w:tcW w:w="1100" w:type="dxa"/>
            <w:vAlign w:val="bottom"/>
            <w:gridSpan w:val="2"/>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Consolidated Financial Statements (Unaudited)</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Controls and Procedures</w:t>
              </w:r>
            </w:hyperlink>
          </w:p>
        </w:tc>
        <w:tc>
          <w:tcPr>
            <w:tcW w:w="7420" w:type="dxa"/>
            <w:vAlign w:val="bottom"/>
            <w:gridSpan w:val="13"/>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Part II. Other Information</w:t>
              </w:r>
            </w:hyperlink>
          </w:p>
        </w:tc>
        <w:tc>
          <w:tcPr>
            <w:tcW w:w="7340" w:type="dxa"/>
            <w:vAlign w:val="bottom"/>
            <w:gridSpan w:val="12"/>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Legal Proceedings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24"/>
                <w:szCs w:val="24"/>
                <w:color w:val="auto"/>
              </w:rPr>
            </w:pPr>
          </w:p>
        </w:tc>
        <w:tc>
          <w:tcPr>
            <w:tcW w:w="7880" w:type="dxa"/>
            <w:vAlign w:val="bottom"/>
            <w:gridSpan w:val="15"/>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Unregistered Sales of Equity Securities and Use of Proceeds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9200" w:type="dxa"/>
            <w:vAlign w:val="bottom"/>
            <w:gridSpan w:val="21"/>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Mine Safety Disclosures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Other Information</w:t>
              </w:r>
            </w:hyperlink>
          </w:p>
        </w:tc>
        <w:tc>
          <w:tcPr>
            <w:tcW w:w="7440" w:type="dxa"/>
            <w:vAlign w:val="bottom"/>
            <w:gridSpan w:val="14"/>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w:t>
              </w:r>
            </w:hyperlink>
          </w:p>
        </w:tc>
        <w:tc>
          <w:tcPr>
            <w:tcW w:w="7900" w:type="dxa"/>
            <w:vAlign w:val="bottom"/>
            <w:gridSpan w:val="1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2" w:name="page3"/>
    <w:bookmarkEnd w:id="2"/>
    <w:p>
      <w:pPr>
        <w:spacing w:after="0" w:line="6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0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95,881</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168,204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184,489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5,608</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180,680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164,752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11,326</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28,240</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489,075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499,935</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73,510</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93,162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95,495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349,984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31,015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21,423</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7,722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54,893</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64,169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168,240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155,095</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231,409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263,241</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8,445</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16,521</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496,114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443,617</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(Refer Note 26)</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38,295,083 shares issued and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34,206,324 shares outstanding as of June 30, 2019 and 37,850,544 shares issued and 34,222,476 shares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December 31, 2018</w:t>
            </w:r>
          </w:p>
        </w:tc>
        <w:tc>
          <w:tcPr>
            <w:tcW w:w="22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364,179</w:t>
            </w: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511,503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484,244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(83,467)</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815,816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764,994</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4,088,759 shares as of June 30, 2019 and 3,628,068 shares as of December 31, 2018, held in treasury, at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(146,925)</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641,353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618,069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641,353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618,319</w:t>
            </w:r>
          </w:p>
        </w:tc>
        <w:tc>
          <w:tcPr>
            <w:tcW w:w="0" w:type="dxa"/>
            <w:vAlign w:val="bottom"/>
          </w:tcPr>
          <w:p>
            <w:pPr>
              <w:spacing w:after="0"/>
              <w:rPr>
                <w:sz w:val="1"/>
                <w:szCs w:val="1"/>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bl>
    <w:p>
      <w:pPr>
        <w:sectPr>
          <w:pgSz w:w="11900" w:h="16900" w:orient="portrait"/>
          <w:cols w:equalWidth="0" w:num="1">
            <w:col w:w="11140"/>
          </w:cols>
          <w:pgMar w:left="240" w:top="333" w:right="519" w:bottom="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328930</wp:posOffset>
            </wp:positionH>
            <wp:positionV relativeFrom="page">
              <wp:posOffset>88900</wp:posOffset>
            </wp:positionV>
            <wp:extent cx="69037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3720" cy="17145"/>
                    </a:xfrm>
                    <a:prstGeom prst="rect">
                      <a:avLst/>
                    </a:prstGeom>
                    <a:noFill/>
                  </pic:spPr>
                </pic:pic>
              </a:graphicData>
            </a:graphic>
          </wp:anchor>
        </w:drawing>
        <w:t>See accompanying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-119380</wp:posOffset>
            </wp:positionV>
            <wp:extent cx="2195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1">
            <w:col w:w="9019"/>
          </w:cols>
          <w:pgMar w:left="1440" w:top="173"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73" w:right="1440"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4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243,509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483,082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417,085</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162,446</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139,649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319,686</w:t>
            </w: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277,750</w:t>
            </w: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81,063</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70,463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163,396</w:t>
            </w: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139,335</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31,228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63,759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56,906</w:t>
            </w:r>
          </w:p>
        </w:tc>
        <w:tc>
          <w:tcPr>
            <w:tcW w:w="0" w:type="dxa"/>
            <w:vAlign w:val="bottom"/>
          </w:tcPr>
          <w:p>
            <w:pPr>
              <w:spacing w:after="0"/>
              <w:rPr>
                <w:sz w:val="1"/>
                <w:szCs w:val="1"/>
                <w:color w:val="auto"/>
              </w:rPr>
            </w:pPr>
          </w:p>
        </w:tc>
      </w:tr>
      <w:tr>
        <w:trPr>
          <w:trHeight w:val="243"/>
        </w:trPr>
        <w:tc>
          <w:tcPr>
            <w:tcW w:w="4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17,647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35,694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12,752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26,419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21,086</w:t>
            </w:r>
          </w:p>
        </w:tc>
        <w:tc>
          <w:tcPr>
            <w:tcW w:w="0" w:type="dxa"/>
            <w:vAlign w:val="bottom"/>
          </w:tcPr>
          <w:p>
            <w:pPr>
              <w:spacing w:after="0"/>
              <w:rPr>
                <w:sz w:val="1"/>
                <w:szCs w:val="1"/>
                <w:color w:val="auto"/>
              </w:rPr>
            </w:pPr>
          </w:p>
        </w:tc>
      </w:tr>
      <w:tr>
        <w:trPr>
          <w:trHeight w:val="243"/>
        </w:trPr>
        <w:tc>
          <w:tcPr>
            <w:tcW w:w="4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5,580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67,207</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132,679</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107,095</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13,856</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17,090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30,717</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32,240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8,525</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01"/>
        </w:trPr>
        <w:tc>
          <w:tcPr>
            <w:tcW w:w="48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15,296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20,030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34,258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38,791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2,670</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6,870</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14,520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27,388</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37,734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1"/>
        </w:trPr>
        <w:tc>
          <w:tcPr>
            <w:tcW w:w="48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ExlService Holdings, Inc.</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12,564</w:t>
            </w:r>
          </w:p>
        </w:tc>
        <w:tc>
          <w:tcPr>
            <w:tcW w:w="1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14,462</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27,259</w:t>
            </w:r>
          </w:p>
        </w:tc>
        <w:tc>
          <w:tcPr>
            <w:tcW w:w="1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37,620</w:t>
            </w:r>
          </w:p>
        </w:tc>
        <w:tc>
          <w:tcPr>
            <w:tcW w:w="0" w:type="dxa"/>
            <w:vAlign w:val="bottom"/>
          </w:tcPr>
          <w:p>
            <w:pPr>
              <w:spacing w:after="0"/>
              <w:rPr>
                <w:sz w:val="1"/>
                <w:szCs w:val="1"/>
                <w:color w:val="auto"/>
              </w:rPr>
            </w:pPr>
          </w:p>
        </w:tc>
      </w:tr>
      <w:tr>
        <w:trPr>
          <w:trHeight w:val="28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0.79</w:t>
            </w:r>
          </w:p>
        </w:tc>
        <w:tc>
          <w:tcPr>
            <w:tcW w:w="1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attributable to ExlService Holdings, Inc. stockholders: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34,451,671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34,511,777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34,413,455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34,479,202</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34,702,547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35,142,388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34,768,203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35,222,838</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240" w:top="333" w:right="8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24"/>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comprehensive income/(loss):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gain/(loss) on effective cash flow hedges, net of taxes $693,</w:t>
            </w:r>
          </w:p>
        </w:tc>
        <w:tc>
          <w:tcPr>
            <w:tcW w:w="2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($3,573), $1,882 and ($4,373),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gain/(loss)</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Reclassification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cash flow hedges, net of taxes ($560), ($426), ($206) and ($1,202),</w:t>
            </w: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Retirement benefits, net of taxes ($19), ($3), $90 and ($2), respectively</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2,854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(27,951)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9,109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(41,911)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40" w:hanging="532"/>
        <w:spacing w:after="0" w:line="259"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revenues or operating expenses, as applicable in the unaudited consolidated statements of income. Refer Note 17 to the unaudited consolidated financial statements.</w:t>
      </w:r>
    </w:p>
    <w:p>
      <w:pPr>
        <w:spacing w:after="0" w:line="1" w:lineRule="exact"/>
        <w:rPr>
          <w:rFonts w:ascii="Times New Roman" w:cs="Times New Roman" w:eastAsia="Times New Roman" w:hAnsi="Times New Roman"/>
          <w:sz w:val="16"/>
          <w:szCs w:val="16"/>
          <w:i w:val="1"/>
          <w:iCs w:val="1"/>
          <w:color w:val="auto"/>
        </w:rPr>
      </w:pPr>
    </w:p>
    <w:p>
      <w:pPr>
        <w:ind w:left="540" w:hanging="532"/>
        <w:spacing w:after="0" w:line="257"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 Refer Note 20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2019 and 2018</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20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2019</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38,256,036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371,144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498,939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(77,212)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(3,890,599)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(162,333)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630,835</w:t>
            </w:r>
          </w:p>
        </w:tc>
        <w:tc>
          <w:tcPr>
            <w:tcW w:w="0" w:type="dxa"/>
            <w:vAlign w:val="bottom"/>
          </w:tcPr>
          <w:p>
            <w:pPr>
              <w:spacing w:after="0"/>
              <w:rPr>
                <w:sz w:val="1"/>
                <w:szCs w:val="1"/>
                <w:color w:val="auto"/>
              </w:rPr>
            </w:pPr>
          </w:p>
        </w:tc>
      </w:tr>
      <w:tr>
        <w:trPr>
          <w:trHeight w:val="153"/>
        </w:trPr>
        <w:tc>
          <w:tcPr>
            <w:tcW w:w="20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39,047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7,155</w:t>
            </w:r>
          </w:p>
        </w:tc>
        <w:tc>
          <w:tcPr>
            <w:tcW w:w="0" w:type="dxa"/>
            <w:vAlign w:val="bottom"/>
          </w:tcPr>
          <w:p>
            <w:pPr>
              <w:spacing w:after="0"/>
              <w:rPr>
                <w:sz w:val="1"/>
                <w:szCs w:val="1"/>
                <w:color w:val="auto"/>
              </w:rPr>
            </w:pPr>
          </w:p>
        </w:tc>
      </w:tr>
      <w:tr>
        <w:trPr>
          <w:trHeight w:val="78"/>
        </w:trPr>
        <w:tc>
          <w:tcPr>
            <w:tcW w:w="20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0" w:type="dxa"/>
            <w:vAlign w:val="bottom"/>
          </w:tcPr>
          <w:p>
            <w:pPr>
              <w:spacing w:after="0"/>
              <w:rPr>
                <w:sz w:val="1"/>
                <w:szCs w:val="1"/>
                <w:color w:val="auto"/>
              </w:rPr>
            </w:pPr>
          </w:p>
        </w:tc>
      </w:tr>
      <w:tr>
        <w:trPr>
          <w:trHeight w:val="73"/>
        </w:trPr>
        <w:tc>
          <w:tcPr>
            <w:tcW w:w="20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Purchase of non-controlling</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2,854</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2,854</w:t>
            </w:r>
          </w:p>
        </w:tc>
        <w:tc>
          <w:tcPr>
            <w:tcW w:w="0" w:type="dxa"/>
            <w:vAlign w:val="bottom"/>
          </w:tcPr>
          <w:p>
            <w:pPr>
              <w:spacing w:after="0"/>
              <w:rPr>
                <w:sz w:val="1"/>
                <w:szCs w:val="1"/>
                <w:color w:val="auto"/>
              </w:rPr>
            </w:pPr>
          </w:p>
        </w:tc>
      </w:tr>
      <w:tr>
        <w:trPr>
          <w:trHeight w:val="73"/>
        </w:trPr>
        <w:tc>
          <w:tcPr>
            <w:tcW w:w="20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12,564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12,564</w:t>
            </w:r>
          </w:p>
        </w:tc>
        <w:tc>
          <w:tcPr>
            <w:tcW w:w="0" w:type="dxa"/>
            <w:vAlign w:val="bottom"/>
          </w:tcPr>
          <w:p>
            <w:pPr>
              <w:spacing w:after="0"/>
              <w:rPr>
                <w:sz w:val="1"/>
                <w:szCs w:val="1"/>
                <w:color w:val="auto"/>
              </w:rPr>
            </w:pPr>
          </w:p>
        </w:tc>
      </w:tr>
      <w:tr>
        <w:trPr>
          <w:trHeight w:val="73"/>
        </w:trPr>
        <w:tc>
          <w:tcPr>
            <w:tcW w:w="2060" w:type="dxa"/>
            <w:vAlign w:val="bottom"/>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2019</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38,295,083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378,633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511,503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(74,358)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(4,088,759)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(174,463)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641,353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2060" w:type="dxa"/>
            <w:vAlign w:val="bottom"/>
          </w:tcPr>
          <w:p>
            <w:pPr>
              <w:spacing w:after="0"/>
              <w:rPr>
                <w:sz w:val="24"/>
                <w:szCs w:val="24"/>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20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2018</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37,568,973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327,750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450,676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(59,670)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(3,126,011)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601,705</w:t>
            </w:r>
          </w:p>
        </w:tc>
        <w:tc>
          <w:tcPr>
            <w:tcW w:w="0" w:type="dxa"/>
            <w:vAlign w:val="bottom"/>
          </w:tcPr>
          <w:p>
            <w:pPr>
              <w:spacing w:after="0"/>
              <w:rPr>
                <w:sz w:val="1"/>
                <w:szCs w:val="1"/>
                <w:color w:val="auto"/>
              </w:rPr>
            </w:pPr>
          </w:p>
        </w:tc>
      </w:tr>
      <w:tr>
        <w:trPr>
          <w:trHeight w:val="153"/>
        </w:trPr>
        <w:tc>
          <w:tcPr>
            <w:tcW w:w="20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6,893</w:t>
            </w:r>
          </w:p>
        </w:tc>
        <w:tc>
          <w:tcPr>
            <w:tcW w:w="0" w:type="dxa"/>
            <w:vAlign w:val="bottom"/>
          </w:tcPr>
          <w:p>
            <w:pPr>
              <w:spacing w:after="0"/>
              <w:rPr>
                <w:sz w:val="1"/>
                <w:szCs w:val="1"/>
                <w:color w:val="auto"/>
              </w:rPr>
            </w:pPr>
          </w:p>
        </w:tc>
      </w:tr>
      <w:tr>
        <w:trPr>
          <w:trHeight w:val="78"/>
        </w:trPr>
        <w:tc>
          <w:tcPr>
            <w:tcW w:w="20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(168,835)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0" w:type="dxa"/>
            <w:vAlign w:val="bottom"/>
          </w:tcPr>
          <w:p>
            <w:pPr>
              <w:spacing w:after="0"/>
              <w:rPr>
                <w:sz w:val="1"/>
                <w:szCs w:val="1"/>
                <w:color w:val="auto"/>
              </w:rPr>
            </w:pPr>
          </w:p>
        </w:tc>
      </w:tr>
      <w:tr>
        <w:trPr>
          <w:trHeight w:val="73"/>
        </w:trPr>
        <w:tc>
          <w:tcPr>
            <w:tcW w:w="20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20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(27,951)</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(27,951)</w:t>
            </w:r>
          </w:p>
        </w:tc>
        <w:tc>
          <w:tcPr>
            <w:tcW w:w="0" w:type="dxa"/>
            <w:vAlign w:val="bottom"/>
          </w:tcPr>
          <w:p>
            <w:pPr>
              <w:spacing w:after="0"/>
              <w:rPr>
                <w:sz w:val="1"/>
                <w:szCs w:val="1"/>
                <w:color w:val="auto"/>
              </w:rPr>
            </w:pPr>
          </w:p>
        </w:tc>
      </w:tr>
      <w:tr>
        <w:trPr>
          <w:trHeight w:val="73"/>
        </w:trPr>
        <w:tc>
          <w:tcPr>
            <w:tcW w:w="20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14,462</w:t>
            </w:r>
          </w:p>
        </w:tc>
        <w:tc>
          <w:tcPr>
            <w:tcW w:w="0" w:type="dxa"/>
            <w:vAlign w:val="bottom"/>
          </w:tcPr>
          <w:p>
            <w:pPr>
              <w:spacing w:after="0"/>
              <w:rPr>
                <w:sz w:val="1"/>
                <w:szCs w:val="1"/>
                <w:color w:val="auto"/>
              </w:rPr>
            </w:pPr>
          </w:p>
        </w:tc>
      </w:tr>
      <w:tr>
        <w:trPr>
          <w:trHeight w:val="73"/>
        </w:trPr>
        <w:tc>
          <w:tcPr>
            <w:tcW w:w="20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2018</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37,583,160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334,643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465,138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(87,621)</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(3,294,846)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(126,952)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585,479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EQUITY (UNAUDITED)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 and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2019</w:t>
      </w:r>
    </w:p>
    <w:p>
      <w:pPr>
        <w:spacing w:after="0" w:line="84" w:lineRule="exact"/>
        <w:rPr>
          <w:sz w:val="20"/>
          <w:szCs w:val="20"/>
          <w:color w:val="auto"/>
        </w:rPr>
      </w:pPr>
    </w:p>
    <w:p>
      <w:pPr>
        <w:ind w:left="40" w:right="8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right="300"/>
        <w:spacing w:after="0" w:line="402" w:lineRule="auto"/>
        <w:rPr>
          <w:sz w:val="20"/>
          <w:szCs w:val="20"/>
          <w:color w:val="auto"/>
        </w:rPr>
      </w:pPr>
      <w:r>
        <w:rPr>
          <w:rFonts w:ascii="Times New Roman" w:cs="Times New Roman" w:eastAsia="Times New Roman" w:hAnsi="Times New Roman"/>
          <w:sz w:val="14"/>
          <w:szCs w:val="14"/>
          <w:color w:val="auto"/>
        </w:rPr>
        <w:t>Stock-based compensation Acquisition of treasury stock</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14"/>
          <w:szCs w:val="14"/>
          <w:color w:val="auto"/>
        </w:rPr>
        <w:t>Allocation of equity component related to issuance costs on convertible senior notes</w:t>
      </w:r>
    </w:p>
    <w:p>
      <w:pPr>
        <w:spacing w:after="0" w:line="15"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Purchase of non-controlling interest, net of its share of income</w:t>
      </w:r>
    </w:p>
    <w:p>
      <w:pPr>
        <w:spacing w:after="0" w:line="1" w:lineRule="exact"/>
        <w:rPr>
          <w:sz w:val="20"/>
          <w:szCs w:val="20"/>
          <w:color w:val="auto"/>
        </w:rPr>
      </w:pPr>
    </w:p>
    <w:p>
      <w:pPr>
        <w:ind w:left="40" w:right="260"/>
        <w:spacing w:after="0" w:line="443" w:lineRule="auto"/>
        <w:rPr>
          <w:sz w:val="20"/>
          <w:szCs w:val="20"/>
          <w:color w:val="auto"/>
        </w:rPr>
      </w:pPr>
      <w:r>
        <w:rPr>
          <w:rFonts w:ascii="Times New Roman" w:cs="Times New Roman" w:eastAsia="Times New Roman" w:hAnsi="Times New Roman"/>
          <w:sz w:val="14"/>
          <w:szCs w:val="14"/>
          <w:color w:val="auto"/>
        </w:rPr>
        <w:t>Other comprehensive income Net income</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37,850,544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364,179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484,244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(3,628,068)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(146,925)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618,319</w:t>
            </w:r>
          </w:p>
        </w:tc>
        <w:tc>
          <w:tcPr>
            <w:tcW w:w="0" w:type="dxa"/>
            <w:vAlign w:val="bottom"/>
          </w:tcPr>
          <w:p>
            <w:pPr>
              <w:spacing w:after="0"/>
              <w:rPr>
                <w:sz w:val="1"/>
                <w:szCs w:val="1"/>
                <w:color w:val="auto"/>
              </w:rPr>
            </w:pPr>
          </w:p>
        </w:tc>
      </w:tr>
      <w:tr>
        <w:trPr>
          <w:trHeight w:val="378"/>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444,539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14,111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(460,691)</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(27,538)</w:t>
            </w:r>
          </w:p>
        </w:tc>
        <w:tc>
          <w:tcPr>
            <w:tcW w:w="0" w:type="dxa"/>
            <w:vAlign w:val="bottom"/>
          </w:tcPr>
          <w:p>
            <w:pPr>
              <w:spacing w:after="0"/>
              <w:rPr>
                <w:sz w:val="1"/>
                <w:szCs w:val="1"/>
                <w:color w:val="auto"/>
              </w:rPr>
            </w:pPr>
          </w:p>
        </w:tc>
      </w:tr>
      <w:tr>
        <w:trPr>
          <w:trHeight w:val="50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5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9,109</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9,109</w:t>
            </w:r>
          </w:p>
        </w:tc>
        <w:tc>
          <w:tcPr>
            <w:tcW w:w="0" w:type="dxa"/>
            <w:vAlign w:val="bottom"/>
          </w:tcPr>
          <w:p>
            <w:pPr>
              <w:spacing w:after="0"/>
              <w:rPr>
                <w:sz w:val="1"/>
                <w:szCs w:val="1"/>
                <w:color w:val="auto"/>
              </w:rPr>
            </w:pPr>
          </w:p>
        </w:tc>
      </w:tr>
      <w:tr>
        <w:trPr>
          <w:trHeight w:val="275"/>
        </w:trPr>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27,259</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27,259</w:t>
            </w:r>
          </w:p>
        </w:tc>
        <w:tc>
          <w:tcPr>
            <w:tcW w:w="0" w:type="dxa"/>
            <w:vAlign w:val="bottom"/>
          </w:tcPr>
          <w:p>
            <w:pPr>
              <w:spacing w:after="0"/>
              <w:rPr>
                <w:sz w:val="1"/>
                <w:szCs w:val="1"/>
                <w:color w:val="auto"/>
              </w:rPr>
            </w:pPr>
          </w:p>
        </w:tc>
      </w:tr>
      <w:tr>
        <w:trPr>
          <w:trHeight w:val="237"/>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38,295,083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378,633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511,503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(74,358)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(4,088,759)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(174,463)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641,353</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-1809115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-1414145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-1071245</wp:posOffset>
            </wp:positionV>
            <wp:extent cx="723773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31750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-530860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-187960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80"/>
            <w:col w:w="934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right="260"/>
        <w:spacing w:after="0" w:line="263" w:lineRule="auto"/>
        <w:rPr>
          <w:sz w:val="20"/>
          <w:szCs w:val="20"/>
          <w:color w:val="auto"/>
        </w:rPr>
      </w:pPr>
      <w:r>
        <w:rPr>
          <w:rFonts w:ascii="Times New Roman" w:cs="Times New Roman" w:eastAsia="Times New Roman" w:hAnsi="Times New Roman"/>
          <w:sz w:val="14"/>
          <w:szCs w:val="14"/>
          <w:b w:val="1"/>
          <w:bCs w:val="1"/>
          <w:color w:val="auto"/>
        </w:rPr>
        <w:t>Balance as of December 31, 2017</w:t>
      </w:r>
    </w:p>
    <w:p>
      <w:pPr>
        <w:ind w:left="40"/>
        <w:spacing w:after="0" w:line="262" w:lineRule="auto"/>
        <w:rPr>
          <w:sz w:val="20"/>
          <w:szCs w:val="20"/>
          <w:color w:val="auto"/>
        </w:rPr>
      </w:pPr>
      <w:r>
        <w:rPr>
          <w:rFonts w:ascii="Times New Roman" w:cs="Times New Roman" w:eastAsia="Times New Roman" w:hAnsi="Times New Roman"/>
          <w:sz w:val="14"/>
          <w:szCs w:val="14"/>
          <w:color w:val="auto"/>
        </w:rPr>
        <w:t>Impact of adoption of ASU 2016-09</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p>
      <w:pPr>
        <w:spacing w:after="0" w:line="44"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6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(103,816)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600,045</w:t>
            </w:r>
          </w:p>
        </w:tc>
        <w:tc>
          <w:tcPr>
            <w:tcW w:w="0" w:type="dxa"/>
            <w:vAlign w:val="bottom"/>
          </w:tcPr>
          <w:p>
            <w:pPr>
              <w:spacing w:after="0"/>
              <w:rPr>
                <w:sz w:val="1"/>
                <w:szCs w:val="1"/>
                <w:color w:val="auto"/>
              </w:rPr>
            </w:pPr>
          </w:p>
        </w:tc>
      </w:tr>
      <w:tr>
        <w:trPr>
          <w:trHeight w:val="356"/>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45"/>
        </w:trPr>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0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(103,816)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600,499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792,409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11,967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(392,828)</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(41,911)</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(41,911)</w:t>
            </w:r>
          </w:p>
        </w:tc>
        <w:tc>
          <w:tcPr>
            <w:tcW w:w="0" w:type="dxa"/>
            <w:vAlign w:val="bottom"/>
          </w:tcPr>
          <w:p>
            <w:pPr>
              <w:spacing w:after="0"/>
              <w:rPr>
                <w:sz w:val="1"/>
                <w:szCs w:val="1"/>
                <w:color w:val="auto"/>
              </w:rPr>
            </w:pPr>
          </w:p>
        </w:tc>
      </w:tr>
      <w:tr>
        <w:trPr>
          <w:trHeight w:val="27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37,620</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37,583,160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334,643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465,138</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(87,621)</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(3,294,846)</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(126,952)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585,479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-1885950</wp:posOffset>
            </wp:positionV>
            <wp:extent cx="723773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-1440180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-1045845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-702310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-359410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100"/>
            <w:col w:w="934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8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27,259</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37,620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26,532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21,279</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11,967</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13,701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gain on short 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foreign exchange loss/(gain), net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 (benefit)/expense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Allowance for doubtful accounts receivable</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non-cash interest expense related to convertible senior notes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Impairment charges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Others, net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(11,719)</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2,753</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13,793</w:t>
            </w:r>
          </w:p>
        </w:tc>
      </w:tr>
      <w:tr>
        <w:trPr>
          <w:trHeight w:val="169"/>
        </w:trPr>
        <w:tc>
          <w:tcPr>
            <w:tcW w:w="79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(40,663)</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redemption of investments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91,669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60,811</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w:t>
            </w:r>
          </w:p>
        </w:tc>
      </w:tr>
      <w:tr>
        <w:trPr>
          <w:trHeight w:val="169"/>
        </w:trPr>
        <w:tc>
          <w:tcPr>
            <w:tcW w:w="79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borrowings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(61,114)</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104,131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94,277</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91,447</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89,992</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ectPr>
          <w:pgSz w:w="11900" w:h="16838" w:orient="portrait"/>
          <w:cols w:equalWidth="0" w:num="1">
            <w:col w:w="11420"/>
          </w:cols>
          <w:pgMar w:left="240" w:top="333" w:right="239" w:bottom="83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833"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2018.</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income and expenses arising from intra-group transactions, are eliminated while preparing those financial statements.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Employee Benefits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unaudited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classified in “Other income, net”. Refer Note 20 to the unaudited consolidated financial statements for details.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 and Restricted Cash</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Note 26 to the unaudited consolidated financial statements for details). These deposits with banks have maturity dates after June 30, 2020. Restricted cash presented under current assets represents funds held on behalf of clients in dedicated bank accounts.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purposes of the unaudited statements of cash flows, the Company includes in its cash and cash-equivalent balances those amounts that have been classified as restricted cash and restricted cash equivalents.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expects to be entitled to in exchange for the services provided.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 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of Contracts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arrangements involving subcontracting, either in part or whole of the assigned work, are recognized after Company’s assessment of “Principal versus agent considerations”. The Company evaluates whether it is in control of the services before the same are transferred to the customer to assess whether it is Principal or Agent in the arrangement. Revenues are recognized on Gross basis if the Company is in the capacity of Principal and on Net basis if it falls in the capacity of an agent.</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20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20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the Company at the point in time when a performance obligation is satisfied, which is when it identifies an overpayment claim and the same is acknowledged by its customers. In such contracts, the Company’s consideration is contingent upon the actual collections made by its customers and subsequent potential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to contracts</w:t>
      </w:r>
    </w:p>
    <w:p>
      <w:pPr>
        <w:spacing w:after="0" w:line="2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the standalone selling price. Services added that are distinct and at standalone selling price are accounted on a prospective basis either as a separate contract, or as a termination of existing contract and creation of a new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and related services contracts, revenue is allocated to each performance obligation based on the relative standalone selling price. A separate contract is generally drafted for each type of service sold, even if to the same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pre-payment and volume discounts.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Unbilled receivables represents revenues recognized for services rendered between the last billing date and the balance sheet date. Unbilled receivables also include revenues recognized from reimbursement optimization services when the Company identifies an overpayment claim and the same is acknowledged by its customers, however not invoiced at the balance sheet date. Accordingly, amounts for services that the Company has performed and for which an invoice has not yet been issued to the customers are presented as a part of unbilled receivables under accounts receivables.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deferred revenue attributable to certain process transition activities, with respect to its customers where such activities do not represent separate performance obligations. Revenues related to such transition activities are contract liabilities classified under “Deferred Revenue” in the Company's consolidated balance sheets and subsequently recognized over the period in which the related services are performed. Costs related to such transition activities are contract fulfillment costs, and thereby classified under “Other Current Assets” and “Other Assets” in the consolidated balance sheets, and are recognized over the estimated expected period of benefit, under Cost of Revenues in the consolidated statements of income. Deferred revenue also includes the amount for which services have been rendered but other conditions of revenue recognition are not met, for example where the Company does not have an enforceable contract.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w:t>
      </w:r>
    </w:p>
    <w:p>
      <w:pPr>
        <w:spacing w:after="0" w:line="2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Upfront payment made to customer</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Upfront payments, if any,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 of pocket expenses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remaining performance obligations by applying the practical expedient provided in Topic 606, for contracts that meet any of the following criteria:</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an original expected length of one year or less as determined under ASC 606,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Company recognize revenue based on the right to invoice for service performed.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accounts receivable net of allowances for doubtful accounts. Allowances for doubtful accounts are established through the evaluation of aging of accounts receivables, prior collection experience, current market conditions, clients’ financial condition and the amount of accounts receivables in dispute to estimate the collectability of these accounts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Leases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"current portion of operating lease liabilities" and "operating lease liabilities, less current portion" in the Company's unaudited consolidated balance sheets. Finance leases are included in "property and equipment", "current portion of finance lease obligations" and "finance lease obligations, less current portion" in the Company's unaudited consolidated balance sheets.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in determining the present value of lease payments. Lease terms include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8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the date of initial application, the Company adopted,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modified retrospective method. The modified retrospective method provides a method of recording those leases which had not expired as of the date of adoption of January 1, 2019. The prior period unaudited consolidated financial statements have not been retrospectively adjusted and continues to be reported under Topic 840.</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permitted under the transition guidance under Topic 842, which amongst other matters, allowed the Company (i) not to apply the recognition requirements to short-term leases (leases with a lease term of 12 months or less), (ii) not to reassess whether any expired or existing contracts are or contain leases, (iii) not to reassess the lease classification for any expired or existing leases, and (iv) not to reassess initial direct costs for any existing leases.</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had no impact on opening balance of retained earnings. Refer Note 21 to the unaudited consolidated financial statements for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Recent Accounting Pronouncements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Company is currently evaluating the impact that the adoption of this guidance will have on its consolidated financial statements.</w:t>
      </w:r>
    </w:p>
    <w:p>
      <w:pPr>
        <w:spacing w:after="0" w:line="7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Changes to the Disclosure Requirements for Fair Value Measurement. The amendments in this ASU modify the disclosure requirements on fair value measurements in Topic 820, based on the concepts in the Concepts Statement, including the consideration of costs and benefits. The amendments in ASU are effective for fiscal years beginning after December 15, 2019, including interim periods within those fiscal years. An entity is permitted to early adopt either the entire standard or only the provisions that eliminate or modify requirements.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2018-14, </w:t>
      </w:r>
      <w:r>
        <w:rPr>
          <w:rFonts w:ascii="Times New Roman" w:cs="Times New Roman" w:eastAsia="Times New Roman" w:hAnsi="Times New Roman"/>
          <w:sz w:val="18"/>
          <w:szCs w:val="18"/>
          <w:i w:val="1"/>
          <w:iCs w:val="1"/>
          <w:color w:val="auto"/>
        </w:rPr>
        <w:t>Compensation-Retirement Benefits-Defined Benefit Plans-General</w:t>
      </w:r>
      <w:r>
        <w:rPr>
          <w:rFonts w:ascii="Times New Roman" w:cs="Times New Roman" w:eastAsia="Times New Roman" w:hAnsi="Times New Roman"/>
          <w:sz w:val="18"/>
          <w:szCs w:val="18"/>
          <w:color w:val="auto"/>
        </w:rPr>
        <w:t xml:space="preserve"> (Subtopic 715-20): Changes to the Disclosure Requirements for Defined Benefit Plans. The amendments in this ASU remove disclosures that no longer are considered cost beneficial, clarify the specific requirements of disclosures, and add disclosure requirements identified as relevant. The amendments in ASU are effective for fiscal years beginning after December 15, 2020. Early adoption is permitted.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August 2018, FASB issued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Early adoption is permitted and both prospective and retrospective transition methods are allowed. The Company is currently evaluating the impact that the adoption of this guidance will have on its consolidated financial statements.</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April 2019, FASB issued ASU no. 2019-04, </w:t>
      </w:r>
      <w:r>
        <w:rPr>
          <w:rFonts w:ascii="Times New Roman" w:cs="Times New Roman" w:eastAsia="Times New Roman" w:hAnsi="Times New Roman"/>
          <w:sz w:val="18"/>
          <w:szCs w:val="18"/>
          <w:i w:val="1"/>
          <w:iCs w:val="1"/>
          <w:color w:val="auto"/>
        </w:rPr>
        <w:t>Codification Improvements to 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(Topic 815), and</w:t>
      </w:r>
      <w:r>
        <w:rPr>
          <w:rFonts w:ascii="Times New Roman" w:cs="Times New Roman" w:eastAsia="Times New Roman" w:hAnsi="Times New Roman"/>
          <w:sz w:val="18"/>
          <w:szCs w:val="18"/>
          <w:i w:val="1"/>
          <w:iCs w:val="1"/>
          <w:color w:val="auto"/>
        </w:rPr>
        <w:t xml:space="preserve"> Financial Instruments: Targeted Transition Relief </w:t>
      </w:r>
      <w:r>
        <w:rPr>
          <w:rFonts w:ascii="Times New Roman" w:cs="Times New Roman" w:eastAsia="Times New Roman" w:hAnsi="Times New Roman"/>
          <w:sz w:val="18"/>
          <w:szCs w:val="18"/>
          <w:color w:val="auto"/>
        </w:rPr>
        <w:t>(Topic 825). The amendments clarify the scope of the credit losses standard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is permitted. The Company is currently evaluating the impact that the adoption of this guidance will have on its consolidated financial statements.</w:t>
      </w:r>
    </w:p>
    <w:p>
      <w:pPr>
        <w:spacing w:after="0" w:line="8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May 2019, FASB issued ASU no. 2019-05,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Targeted Transition Relief. This ASU provide entities with the option to irrevocably elect the fair value option, on an instrument-by-instrument basis in accordance with Subtopic 825-10, for certain financial instruments that are within the scope of Subtopic 326-20, upon adopting Topic 326. The fair value option election does not apply to held-to-maturity debt securities. The amendments in this Update provide entities with targeted transition relief that is intended to increase comparability of financial statement information for some entities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otherwise would have measured similar financial instruments using different measurement methodologies. This ASU is effective for public business entities for fiscal years beginning after December 15, 2019, including interim periods within that fiscal year. Early adoption is permitted. The Company is currently evaluating the impact that the adoption of this guidance will have on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Adopted Accounting Pronouncements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requires the identification of arrangements that should be accounted for as leases. Lease arrangements exceeding a twelve months term should be recognized as assets with corresponding liabilities on the balance sheet of the lessee. This ASU requires recognition of an ROU asset and lease obligation for those leases classified as operating leases under Topic 840, while the income statement will reflect lease expense for operating leases. The balance sheet amounts recorded for existing operating leases at the date of adoption of this ASU must be calculated using the applicable incremental borrowing rate. The Company adopted Topic 842 as of January 1, 2019 using the modified retrospective method provided by ASU 2018-11. The adoption had a material impact on the Company's unaudited consolidated balance sheets, but did not have a material impact on the Company's unaudited consolidated income statements and unaudited consolidated statements of cash flows. The most significant impact was the recognition of ROU assets and lease liabilities for operating leases, while the Company's accounting for finance leases remained substantially unchanged. Refer Note 21 to the unaudited consolidated financial statements for details.</w:t>
      </w:r>
    </w:p>
    <w:p>
      <w:pPr>
        <w:spacing w:after="0" w:line="8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July 2018,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The Company adopted Topic 842 as of January 1, 2019 using this ASU. Refer Note 21 to the unaudited consolidated financial statements for details.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 (“TT&amp;L”)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(“F&amp;A”)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the Company's remaining operating segments, which are the Banking and Financial Services, Utilities and Consulting operating segments).</w:t>
      </w:r>
    </w:p>
    <w:p>
      <w:pPr>
        <w:spacing w:after="0" w:line="18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and cost of revenues for the three months ended June 30, 2019 and 2018,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172085</wp:posOffset>
            </wp:positionV>
            <wp:extent cx="5462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4"/>
                <w:szCs w:val="24"/>
                <w:color w:val="auto"/>
              </w:rPr>
            </w:pPr>
          </w:p>
        </w:tc>
        <w:tc>
          <w:tcPr>
            <w:tcW w:w="10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243,509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49,906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57,431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162,446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64,812</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18,549</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210,112</w:t>
            </w:r>
          </w:p>
        </w:tc>
        <w:tc>
          <w:tcPr>
            <w:tcW w:w="0" w:type="dxa"/>
            <w:vAlign w:val="bottom"/>
          </w:tcPr>
          <w:p>
            <w:pPr>
              <w:spacing w:after="0"/>
              <w:rPr>
                <w:sz w:val="1"/>
                <w:szCs w:val="1"/>
                <w:color w:val="auto"/>
              </w:rPr>
            </w:pPr>
          </w:p>
        </w:tc>
      </w:tr>
      <w:tr>
        <w:trPr>
          <w:trHeight w:val="270"/>
        </w:trPr>
        <w:tc>
          <w:tcPr>
            <w:tcW w:w="2760" w:type="dxa"/>
            <w:vAlign w:val="bottom"/>
            <w:tcBorders>
              <w:bottom w:val="single" w:sz="8" w:color="CCEEFF"/>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16,713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38,656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139,649</w:t>
            </w:r>
          </w:p>
        </w:tc>
        <w:tc>
          <w:tcPr>
            <w:tcW w:w="0" w:type="dxa"/>
            <w:vAlign w:val="bottom"/>
          </w:tcPr>
          <w:p>
            <w:pPr>
              <w:spacing w:after="0"/>
              <w:rPr>
                <w:sz w:val="1"/>
                <w:szCs w:val="1"/>
                <w:color w:val="auto"/>
              </w:rPr>
            </w:pPr>
          </w:p>
        </w:tc>
      </w:tr>
      <w:tr>
        <w:trPr>
          <w:trHeight w:val="264"/>
        </w:trPr>
        <w:tc>
          <w:tcPr>
            <w:tcW w:w="276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7,924</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70,463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53,373</w:t>
            </w:r>
          </w:p>
        </w:tc>
        <w:tc>
          <w:tcPr>
            <w:tcW w:w="0" w:type="dxa"/>
            <w:vAlign w:val="bottom"/>
          </w:tcPr>
          <w:p>
            <w:pPr>
              <w:spacing w:after="0"/>
              <w:rPr>
                <w:sz w:val="1"/>
                <w:szCs w:val="1"/>
                <w:color w:val="auto"/>
              </w:rPr>
            </w:pPr>
          </w:p>
        </w:tc>
      </w:tr>
      <w:tr>
        <w:trPr>
          <w:trHeight w:val="27"/>
        </w:trPr>
        <w:tc>
          <w:tcPr>
            <w:tcW w:w="29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Foreign exchange gain, interest expense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 w:lineRule="exact"/>
        <w:rPr>
          <w:sz w:val="20"/>
          <w:szCs w:val="20"/>
          <w:color w:val="auto"/>
        </w:rPr>
      </w:pPr>
    </w:p>
    <w:p>
      <w:pPr>
        <w:ind w:left="660" w:hanging="193"/>
        <w:spacing w:after="0"/>
        <w:tabs>
          <w:tab w:leader="none" w:pos="6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-153670</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2420" w:firstLine="405"/>
        <w:spacing w:after="0" w:line="282" w:lineRule="auto"/>
        <w:rPr>
          <w:sz w:val="20"/>
          <w:szCs w:val="20"/>
          <w:color w:val="auto"/>
        </w:rPr>
      </w:pPr>
      <w:r>
        <w:rPr>
          <w:rFonts w:ascii="Times New Roman" w:cs="Times New Roman" w:eastAsia="Times New Roman" w:hAnsi="Times New Roman"/>
          <w:sz w:val="18"/>
          <w:szCs w:val="18"/>
          <w:color w:val="auto"/>
        </w:rPr>
        <w:t>Revenues and cost of revenue for the six months ended June 30, 2019 and 2018,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200025</wp:posOffset>
            </wp:positionV>
            <wp:extent cx="5213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483,082</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96,598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33,860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19,789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24,838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114,333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319,686</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163,396</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132,679</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17145</wp:posOffset>
            </wp:positionV>
            <wp:extent cx="643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260" w:hanging="198"/>
        <w:spacing w:after="0"/>
        <w:tabs>
          <w:tab w:leader="none" w:pos="2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-153670</wp:posOffset>
            </wp:positionV>
            <wp:extent cx="643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222885</wp:posOffset>
            </wp:positionV>
            <wp:extent cx="5213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417,085</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86,460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21,068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29,272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76,731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277,750</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139,335</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107,095</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17145</wp:posOffset>
            </wp:positionV>
            <wp:extent cx="643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3" w:lineRule="exact"/>
        <w:rPr>
          <w:sz w:val="20"/>
          <w:szCs w:val="20"/>
          <w:color w:val="auto"/>
        </w:rPr>
      </w:pPr>
    </w:p>
    <w:p>
      <w:pPr>
        <w:ind w:left="420" w:right="7600" w:hanging="412"/>
        <w:spacing w:after="0" w:line="443" w:lineRule="auto"/>
        <w:tabs>
          <w:tab w:leader="none" w:pos="207"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 Revenues, net by service type,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-557530</wp:posOffset>
            </wp:positionV>
            <wp:extent cx="643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00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BPM and related services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155,638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150,494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308,250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300,365</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87,871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174,832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116,720</w:t>
            </w:r>
          </w:p>
        </w:tc>
      </w:tr>
      <w:tr>
        <w:trPr>
          <w:trHeight w:val="27"/>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243,509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210,112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483,082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417,085</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13"/>
        <w:spacing w:after="0" w:line="225" w:lineRule="auto"/>
        <w:tabs>
          <w:tab w:leader="none" w:pos="615"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BPM and related services include revenues of the Company's five industry-focused operating segments, one capability operating segment and the consulting operating segment, which provides services related to operations management services. Refer to the reportable segment disclosure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4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197,901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174,087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394,005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345,285</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55,496</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29,821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16,304</w:t>
            </w: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45,608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89,077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71,800</w:t>
            </w: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483,082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417,085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net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22"/>
                <w:szCs w:val="22"/>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36,152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28,254</w:t>
            </w: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30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5,985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3,119</w:t>
            </w: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78,083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73,510</w:t>
            </w: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9340" w:firstLine="8"/>
        <w:spacing w:after="0" w:line="533" w:lineRule="auto"/>
        <w:tabs>
          <w:tab w:leader="none" w:pos="1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Revenues, net Disaggregation of revenues</w:t>
      </w:r>
    </w:p>
    <w:p>
      <w:pPr>
        <w:ind w:left="420"/>
        <w:spacing w:after="0"/>
        <w:rPr>
          <w:sz w:val="20"/>
          <w:szCs w:val="20"/>
          <w:color w:val="auto"/>
        </w:rPr>
      </w:pPr>
      <w:r>
        <w:rPr>
          <w:rFonts w:ascii="Times New Roman" w:cs="Times New Roman" w:eastAsia="Times New Roman" w:hAnsi="Times New Roman"/>
          <w:sz w:val="18"/>
          <w:szCs w:val="18"/>
          <w:color w:val="auto"/>
        </w:rPr>
        <w:t>Refer Note 3 to the unaudited consolidated financial statements for revenues disaggregated by reportable segments and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00" w:type="dxa"/>
            <w:vAlign w:val="bottom"/>
          </w:tcPr>
          <w:p>
            <w:pPr>
              <w:spacing w:after="0"/>
              <w:rPr>
                <w:sz w:val="20"/>
                <w:szCs w:val="20"/>
                <w:color w:val="auto"/>
              </w:rPr>
            </w:pPr>
          </w:p>
        </w:tc>
        <w:tc>
          <w:tcPr>
            <w:tcW w:w="1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164,752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w:t>
            </w:r>
          </w:p>
        </w:tc>
      </w:tr>
      <w:tr>
        <w:trPr>
          <w:trHeight w:val="27"/>
        </w:trPr>
        <w:tc>
          <w:tcPr>
            <w:tcW w:w="7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$79,890 and $63,952 as of June 30, 2019 and December 31, 2018,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Contract assets represents upfront payments made to customers. These costs are amortized over the expected period of benefit and are recorded as an adjustment to transaction price and reduced from revenues.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Contract liabilities represents that portion of deferred revenue for which payments have been received in advance from customers including revenues attributable to certain process transition activities for which costs have been capitalized by the</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as contract fulfillment costs. The contract liabilities are included within deferred revenues in the unaudited consolidated balance sheet and are recognized as revenue as (or when) the performance obligation is fulfilled under the contract.</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and six months ended June 30, 2019 that was included in the contract liabilities balance at the beginning of the period was $1,450 and $4,226, respectively, and revenue recognized during the three and six months ended June 30, 2018 that was included in the contract liabilities balance at the beginning of the period was $2,671 and $6,381,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contract acquisition costs of $469 as of June 30, 2019 and $713 as of December 31, 2018. Further, there was no additional capitalization made during the three and six months ended June 30, 2019, respectively. The Company amortized $44 and $244 during the three and six months ended June 30, 2019, respectively, and amortized $80 and $153 during the three and six months ended June 30, 2018, respectively. There was no impairment loss in relation to costs capitalized. The capitalized costs will be amortized on a straight line basis over the life of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had deferred contract fulfillment costs relating to transition activities amounting to $5,608 as of June 30, 2019 and $4,051 as of December 31, 2018. Further, the Company capitalized an additional $1,441 and $2,167 during the three and six months ended June 30, 2019, respectively. The Company amortized $305 and $610 during the three and six months ended June 30, 2019, respectively, and $254 and $395 during the three and six months ended June 30, 2018, respectively. There was no impairment loss in relation to costs capitalized. The capitalized costs will be amortized on a straight line basis over the life of contract.</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Consideration received from customers, if any, relating to such transition activities are classified under Contract Liabilities and are recognized over the period in which the related performance obligations are fulfilled.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6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37,620</w:t>
            </w:r>
          </w:p>
        </w:tc>
      </w:tr>
      <w:tr>
        <w:trPr>
          <w:trHeight w:val="27"/>
        </w:trPr>
        <w:tc>
          <w:tcPr>
            <w:tcW w:w="5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34,451,671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34,511,777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34,413,455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34,479,202</w:t>
            </w:r>
          </w:p>
        </w:tc>
      </w:tr>
      <w:tr>
        <w:trPr>
          <w:trHeight w:val="27"/>
        </w:trPr>
        <w:tc>
          <w:tcPr>
            <w:tcW w:w="5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250,876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630,611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354,748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743,636</w:t>
            </w:r>
          </w:p>
        </w:tc>
      </w:tr>
      <w:tr>
        <w:trPr>
          <w:trHeight w:val="23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34,702,547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35,142,388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34,768,203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35,222,838</w:t>
            </w:r>
          </w:p>
        </w:tc>
      </w:tr>
      <w:tr>
        <w:trPr>
          <w:trHeight w:val="67"/>
        </w:trPr>
        <w:tc>
          <w:tcPr>
            <w:tcW w:w="56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5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r>
      <w:tr>
        <w:trPr>
          <w:trHeight w:val="225"/>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potentially dilutive shares considered anti-dilutive and not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included in computing diluted earnings per share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336,599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212,751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242,561</w:t>
            </w:r>
          </w:p>
        </w:tc>
      </w:tr>
      <w:tr>
        <w:trPr>
          <w:trHeight w:val="702"/>
        </w:trPr>
        <w:tc>
          <w:tcPr>
            <w:tcW w:w="56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unaudited statements of cash flows, cash, cash equivalents and restricted cash comprise of the following:</w:t>
      </w:r>
    </w:p>
    <w:p>
      <w:pPr>
        <w:spacing w:after="0" w:line="354"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24765</wp:posOffset>
            </wp:positionV>
            <wp:extent cx="2418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03" w:lineRule="exact"/>
        <w:rPr>
          <w:sz w:val="20"/>
          <w:szCs w:val="20"/>
          <w:color w:val="auto"/>
        </w:rPr>
      </w:pPr>
    </w:p>
    <w:p>
      <w:pPr>
        <w:jc w:val="right"/>
        <w:ind w:right="5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 2019</w:t>
      </w:r>
      <w:r>
        <w:rPr>
          <w:sz w:val="20"/>
          <w:szCs w:val="20"/>
          <w:color w:val="auto"/>
        </w:rPr>
        <w:tab/>
      </w:r>
      <w:r>
        <w:rPr>
          <w:rFonts w:ascii="Times New Roman" w:cs="Times New Roman" w:eastAsia="Times New Roman" w:hAnsi="Times New Roman"/>
          <w:sz w:val="14"/>
          <w:szCs w:val="14"/>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24765</wp:posOffset>
            </wp:positionV>
            <wp:extent cx="712660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cash (current)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Income, net</w:t>
      </w:r>
    </w:p>
    <w:p>
      <w:pPr>
        <w:spacing w:after="0" w:line="121"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34"/>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84,842</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84,091</w:t>
            </w:r>
          </w:p>
        </w:tc>
      </w:tr>
      <w:tr>
        <w:trPr>
          <w:trHeight w:val="270"/>
        </w:trPr>
        <w:tc>
          <w:tcPr>
            <w:tcW w:w="7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w:t>
            </w:r>
          </w:p>
        </w:tc>
      </w:tr>
      <w:tr>
        <w:trPr>
          <w:trHeight w:val="270"/>
        </w:trPr>
        <w:tc>
          <w:tcPr>
            <w:tcW w:w="7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3,645</w:t>
            </w:r>
          </w:p>
        </w:tc>
      </w:tr>
      <w:tr>
        <w:trPr>
          <w:trHeight w:val="27"/>
        </w:trPr>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91,447</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89,992</w:t>
            </w:r>
          </w:p>
        </w:tc>
      </w:tr>
      <w:tr>
        <w:trPr>
          <w:trHeight w:val="27"/>
        </w:trPr>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-376555</wp:posOffset>
            </wp:positionV>
            <wp:extent cx="71266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9"/>
        </w:trPr>
        <w:tc>
          <w:tcPr>
            <w:tcW w:w="122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20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1" w:lineRule="exact"/>
        <w:rPr>
          <w:sz w:val="20"/>
          <w:szCs w:val="20"/>
          <w:color w:val="auto"/>
        </w:rPr>
      </w:pPr>
    </w:p>
    <w:p>
      <w:pPr>
        <w:sectPr>
          <w:pgSz w:w="11900" w:h="16838" w:orient="portrait"/>
          <w:cols w:equalWidth="0" w:num="2">
            <w:col w:w="5800" w:space="720"/>
            <w:col w:w="490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Others, net</w:t>
            </w:r>
          </w:p>
        </w:tc>
        <w:tc>
          <w:tcPr>
            <w:tcW w:w="1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91,514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85,921</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69,752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39,533</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20,097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Motor vehicles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work in progress</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11,026</w:t>
            </w:r>
          </w:p>
        </w:tc>
      </w:tr>
      <w:tr>
        <w:trPr>
          <w:trHeight w:val="237"/>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247,699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228,850</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(155,798)</w:t>
            </w:r>
          </w:p>
        </w:tc>
      </w:tr>
      <w:tr>
        <w:trPr>
          <w:trHeight w:val="237"/>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73,052</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Motor vehicles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78,083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73,510</w:t>
            </w:r>
          </w:p>
        </w:tc>
      </w:tr>
      <w:tr>
        <w:trPr>
          <w:trHeight w:val="20"/>
        </w:trPr>
        <w:tc>
          <w:tcPr>
            <w:tcW w:w="5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costs incurred to develop software not yet ready to be placed in service.</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excluding amortization of acquisition-related intangibles, recognized in the unaudited consolidated statements of income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3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7,198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6,821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15,337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13,378</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depreciation and amortization set forth above includes the effect of foreign exchange gain/(loss) upon settlement of cash flow hedges, amounting to $56 and $42 for the three months ended and $113 and $193 for the six months ended June 30, 2019 and 2018, respectively. Refer Note 17 to the unaudited consolidated financial statements for further details.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8,783</w:t>
            </w: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7"/>
        </w:trPr>
        <w:tc>
          <w:tcPr>
            <w:tcW w:w="6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6,390</w:t>
            </w:r>
          </w:p>
        </w:tc>
      </w:tr>
      <w:tr>
        <w:trPr>
          <w:trHeight w:val="20"/>
        </w:trPr>
        <w:tc>
          <w:tcPr>
            <w:tcW w:w="6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2019, the Company performed an impairment test of its long-lived assets of its Health Integrated business. Based on the results, the long-lived assets carrying value exceeded their fair value. The primary factor contributing to a reduction in the fair value is the commencement of the wind down of the Health Integrated business, and an anticipated reduction to the Company's estimated future cash flows. As a result of this analysis, the Company recognized impairment charges of $951 and $2,178 during the three and six months ended June 30, 2019, respectively, to write down the carrying value of property and equipment to its fair value. This impairment charge was recorded in the unaudited consolidated statements of income under "Impairment and restructuring charges". Refer Note 24 to the unaudited consolidated financial statements for further details.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5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4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5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960" w:firstLine="8"/>
        <w:spacing w:after="0" w:line="636"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Goodwill and Intangible Assets SCIOinspire Holdings Inc.</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SCIO is a health analytics solution and services company serving healthcare organizations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purchase consideration was $245,044, including cash and cash equivalents acquired and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Company’s business combinations accounting policy, the total purchase consideration for SCIO was allocated to identifiable net tangible and intangible assets based upon their preliminary fair values. The excess of the purchase consideration over fair value of identifiable net tangible and intangible assets was recorded as goodwill. In order to allocate the consideration transferred for SCIO, the fair values of all identifiable assets and liabilities were established. For accounting and financial reporting purposes, fair value is defined under ASC No.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as the price that would be received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purchase price allocation to net tangible and intangible assets of SCIO is as follows:</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19,924</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47,800</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r>
      <w:tr>
        <w:trPr>
          <w:trHeight w:val="243"/>
        </w:trPr>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9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111,107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95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9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81,293</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245,044</w:t>
            </w:r>
          </w:p>
        </w:tc>
      </w:tr>
      <w:tr>
        <w:trPr>
          <w:trHeight w:val="20"/>
        </w:trPr>
        <w:tc>
          <w:tcPr>
            <w:tcW w:w="9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w:t>
      </w:r>
    </w:p>
    <w:p>
      <w:pPr>
        <w:sectPr>
          <w:pgSz w:w="11900" w:h="16838" w:orient="portrait"/>
          <w:cols w:equalWidth="0" w:num="1">
            <w:col w:w="11420"/>
          </w:cols>
          <w:pgMar w:left="240" w:top="117"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10 years.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204,481</w:t>
            </w:r>
          </w:p>
        </w:tc>
      </w:tr>
      <w:tr>
        <w:trPr>
          <w:trHeight w:val="243"/>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Measurement period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5"/>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349,984</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350,220</w:t>
            </w: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performed its annual impairment test of goodwill for all its reporting units. Based on the results, the fair values of each of the Company’s reporting units exceeded their carrying values except for the Health Integrated reporting unit, within the Healthcare operating segment. The primary factors contributing to a reduction in the fair value of the Health Integrated reporting unit were: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As a result of this analysis, the Company recognized a goodwill impairment charge of $14,229 during the fourth quarter to write down the carrying value of Health Integrated’s goodwill to its fair value of $nil as of December 31, 2018. This impairment charge was recorded in the consolidated statements of income under "Impairment and restructuring charges".</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2019, the Company believes no other goodwill impairment exists, apart from the impairment charges discussed above, and that the remaining goodwill is recoverable for all of its reporting units; however, there can be no assurances that additional goodwill will not be impaired in future periods.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129,784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(63,261)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60,974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6"/>
              </w:rPr>
              <w:t>37,141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83,502</w:t>
            </w:r>
          </w:p>
        </w:tc>
        <w:tc>
          <w:tcPr>
            <w:tcW w:w="0" w:type="dxa"/>
            <w:vAlign w:val="bottom"/>
          </w:tcPr>
          <w:p>
            <w:pPr>
              <w:spacing w:after="0"/>
              <w:rPr>
                <w:sz w:val="1"/>
                <w:szCs w:val="1"/>
                <w:color w:val="auto"/>
              </w:rPr>
            </w:pPr>
          </w:p>
        </w:tc>
      </w:tr>
      <w:tr>
        <w:trPr>
          <w:trHeight w:val="224"/>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4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182,180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(91,951)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84,402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129,790</w:t>
            </w:r>
          </w:p>
        </w:tc>
        <w:tc>
          <w:tcPr>
            <w:tcW w:w="12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(56,367)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67,874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9,639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94,595</w:t>
            </w:r>
          </w:p>
        </w:tc>
        <w:tc>
          <w:tcPr>
            <w:tcW w:w="0" w:type="dxa"/>
            <w:vAlign w:val="bottom"/>
          </w:tcPr>
          <w:p>
            <w:pPr>
              <w:spacing w:after="0"/>
              <w:rPr>
                <w:sz w:val="1"/>
                <w:szCs w:val="1"/>
                <w:color w:val="auto"/>
              </w:rPr>
            </w:pPr>
          </w:p>
        </w:tc>
      </w:tr>
      <w:tr>
        <w:trPr>
          <w:trHeight w:val="224"/>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182,172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(80,850)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95,495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amortization expense for the period is as follows: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44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60" w:type="dxa"/>
            <w:vAlign w:val="bottom"/>
          </w:tcPr>
          <w:p>
            <w:pPr>
              <w:spacing w:after="0"/>
              <w:rPr>
                <w:sz w:val="22"/>
                <w:szCs w:val="22"/>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5,554</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11,082</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recognized impairment charges of $5,549 and $278 related to its customer relationships and trademarks intangible assets, respectively, in the Health Integrated reporting unit, within the Healthcare operating segment. The Company tested these intangible assets for recoverability due to indicators warranting the impairment test such as: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Based on the results of its testing, the Company determined that the carrying value of the intangible assets was not recoverable, and an impairment charge was recorded to the extent that carrying value exceeded estimated fair value. This impairment charge was recorded in the consolidated statements of income under "Impairment and restructuring charges". Subsequent to the</w:t>
      </w:r>
    </w:p>
    <w:p>
      <w:pPr>
        <w:sectPr>
          <w:pgSz w:w="11900" w:h="16838" w:orient="portrait"/>
          <w:cols w:equalWidth="0" w:num="1">
            <w:col w:w="11420"/>
          </w:cols>
          <w:pgMar w:left="240" w:top="117"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test, Health Integrated reporting unit’s customer relationships and trademarks intangibles assets were reduced to $nil as of December 31, 2018.</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benefits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
        </w:trPr>
        <w:tc>
          <w:tcPr>
            <w:tcW w:w="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21"/>
                <w:szCs w:val="21"/>
                <w:color w:val="auto"/>
              </w:rPr>
            </w:pPr>
          </w:p>
        </w:tc>
      </w:tr>
      <w:tr>
        <w:trPr>
          <w:trHeight w:val="27"/>
        </w:trPr>
        <w:tc>
          <w:tcPr>
            <w:tcW w:w="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r>
      <w:tr>
        <w:trPr>
          <w:trHeight w:val="702"/>
        </w:trPr>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June 30, 2019 is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Borders>
              <w:right w:val="single" w:sz="8" w:color="CCEEFF"/>
            </w:tcBorders>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(July 1 - December 31)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20" w:type="dxa"/>
            <w:vAlign w:val="bottom"/>
          </w:tcPr>
          <w:p>
            <w:pPr>
              <w:spacing w:after="0"/>
              <w:rPr>
                <w:sz w:val="21"/>
                <w:szCs w:val="21"/>
                <w:color w:val="auto"/>
              </w:rPr>
            </w:pPr>
          </w:p>
        </w:tc>
      </w:tr>
      <w:tr>
        <w:trPr>
          <w:trHeight w:val="27"/>
        </w:trPr>
        <w:tc>
          <w:tcPr>
            <w:tcW w:w="8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Borders>
              <w:right w:val="single" w:sz="8" w:color="CCEEFF"/>
            </w:tcBorders>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20" w:type="dxa"/>
            <w:vAlign w:val="bottom"/>
          </w:tcPr>
          <w:p>
            <w:pPr>
              <w:spacing w:after="0"/>
              <w:rPr>
                <w:sz w:val="21"/>
                <w:szCs w:val="21"/>
                <w:color w:val="auto"/>
              </w:rPr>
            </w:pPr>
          </w:p>
        </w:tc>
      </w:tr>
      <w:tr>
        <w:trPr>
          <w:trHeight w:val="27"/>
        </w:trPr>
        <w:tc>
          <w:tcPr>
            <w:tcW w:w="8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Borders>
              <w:right w:val="single" w:sz="8" w:color="CCEEFF"/>
            </w:tcBorders>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20" w:type="dxa"/>
            <w:vAlign w:val="bottom"/>
          </w:tcPr>
          <w:p>
            <w:pPr>
              <w:spacing w:after="0"/>
              <w:rPr>
                <w:sz w:val="21"/>
                <w:szCs w:val="21"/>
                <w:color w:val="auto"/>
              </w:rPr>
            </w:pPr>
          </w:p>
        </w:tc>
      </w:tr>
      <w:tr>
        <w:trPr>
          <w:trHeight w:val="27"/>
        </w:trPr>
        <w:tc>
          <w:tcPr>
            <w:tcW w:w="220" w:type="dxa"/>
            <w:vAlign w:val="bottom"/>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20" w:type="dxa"/>
            <w:vAlign w:val="bottom"/>
            <w:tcBorders>
              <w:right w:val="single" w:sz="8" w:color="CCEEFF"/>
            </w:tcBorders>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method affiliate. The Company has the right and option to acquire additional preferred stock from Corridor as per the terms of the agreement. The Company's proportionate share of net loss for the three and six months ended June 30, 2019 was $62 and $129, and for the three and six months ended June 30, 2018 was $58 and $114,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to suppliers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31,729</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340"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520" w:type="dxa"/>
            <w:vAlign w:val="bottom"/>
          </w:tcPr>
          <w:p>
            <w:pPr>
              <w:spacing w:after="0"/>
              <w:rPr>
                <w:sz w:val="22"/>
                <w:szCs w:val="22"/>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8,891</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6,520</w:t>
            </w: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33,194</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31,015</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4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17" w:right="5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forward contracts are recognized in accumulated other comprehensive loss on the Company's unaudited consolidated balance sheets until the settlement of those contracts. The balances as of June 30, 2019 and December 31, 2018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 net of taxes of $1,791 and $115, respectively</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net of taxes of $37 and ($53),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971</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(83,467)</w:t>
            </w:r>
          </w:p>
        </w:tc>
      </w:tr>
      <w:tr>
        <w:trPr>
          <w:trHeight w:val="27"/>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June 30, 2019 and December 31, 2018.</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136,699</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136,699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9,359</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136,699</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146,058</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Represents short-term investments carried on fair value option under ASC 825 “Financial Instruments” as of June 30, 2019 and December 31, 2018.</w:t>
      </w:r>
    </w:p>
    <w:p>
      <w:pPr>
        <w:sectPr>
          <w:pgSz w:w="11900" w:h="16838" w:orient="portrait"/>
          <w:cols w:equalWidth="0" w:num="1">
            <w:col w:w="11420"/>
          </w:cols>
          <w:pgMar w:left="240" w:top="117"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financial instruments are based on independent sources including highly rated financial institutions and are classified as Level 2. Refer Note 17 to the unaudited consolidated financial statements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accounts receivable, accounts payable and accrued expenses for which fair values approximate their carrying amounts due to their short-term 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convertible senior notes as of June 30, 2019 and December 31, 2018 was $143,740 and $130,510, respectively. The fair value was determined based on the market yields for similar Notes as of the June 30, 2019 and December 31, 2018. The Company considers the fair value of the Notes to be a Level 2 measurement due to the limited inputs available for its fair valuation.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 of assets:</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Nonrecurring fair value measurements include impairment tests conducted by the Company during the three and six months ended June 30, 2019 of its ROU assets and long-lived assets related to its Health Integrated business. The fair value determination for ROU assets was based on third party quotes, which are Level 2 inputs and for other long-lived assets, it was based on Company’s internal assessment, which are Level 3 inputs. During the three and six months ended June 30, 2019, the Company recognized impairment charges on ROU assets and long-lived assets to write down the carrying value to their fair values. Refer Note 8 and 21 to the unaudited consolidated financial statements for further details.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$412,675 (including $8,800 of range forward contracts) as of June 30, 2019 and $362,435 (including $6,900 of range forward contracts) as of December 31, 2018.</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net of tax, until the hedged transactions occurs. The resultant foreign exchange gain/(loss) are recorded along with the underlying hedged item in the same line of unaudited consolidated statements of income as either part of “Cost of revenues”, “General and administrative expenses”, “Selling and marketing expenses”, “Depreciation and amortization”, as applicable.</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$107,814 and GBP 14,688 as of June 30, 2019 and amounted to $125,503, GBP 15,616 and EUR 512 as of December 31, 2018.</w:t>
      </w:r>
    </w:p>
    <w:p>
      <w:pPr>
        <w:spacing w:after="0" w:line="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uses forward contracts designated as net investment hedges to hedge the foreign currency risks related to our investment in foreign subsidiaries. Gains and losses on these forward contracts are recognized in AOCI as part of the foreign currency translation adjustment.</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estimates that approximately $4,600 of net derivative gains, excluding tax effects, included in accumulated other comprehensive loss representing changes in the value of cash flow hedges, could be reclassified into earnings within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next twelve months based on exchange rates prevailing as of June 30, 2019. At June 30, 2019, the maximum outstanding term of the cash flow hedges was 45 months.</w:t>
      </w:r>
    </w:p>
    <w:p>
      <w:pPr>
        <w:spacing w:after="0" w:line="5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420"/>
          </w:cols>
          <w:pgMar w:left="240" w:top="117" w:right="239" w:bottom="1440" w:gutter="0" w:footer="0" w:header="0"/>
        </w:sect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47625</wp:posOffset>
            </wp:positionV>
            <wp:extent cx="2701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June 30,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55" w:lineRule="exact"/>
        <w:rPr>
          <w:sz w:val="20"/>
          <w:szCs w:val="20"/>
          <w:color w:val="auto"/>
        </w:rPr>
      </w:pPr>
    </w:p>
    <w:p>
      <w:pPr>
        <w:sectPr>
          <w:pgSz w:w="11900" w:h="16838" w:orient="portrait"/>
          <w:cols w:equalWidth="0" w:num="2">
            <w:col w:w="6420" w:space="720"/>
            <w:col w:w="428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1,971</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47625</wp:posOffset>
            </wp:positionV>
            <wp:extent cx="65601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June 30,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47625</wp:posOffset>
            </wp:positionV>
            <wp:extent cx="270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6420" w:space="720"/>
            <w:col w:w="428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4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unaudited consolidated statements of income and accumulated other comprehensive loss for the three and six months ended June 30, 2019 and 2018:</w:t>
      </w:r>
    </w:p>
    <w:p>
      <w:pPr>
        <w:spacing w:after="0" w:line="326"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6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47"/>
        </w:trPr>
        <w:tc>
          <w:tcPr>
            <w:tcW w:w="4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Forward Exchange Contracts:</w:t>
            </w:r>
          </w:p>
        </w:tc>
        <w:tc>
          <w:tcPr>
            <w:tcW w:w="260" w:type="dxa"/>
            <w:vAlign w:val="bottom"/>
          </w:tcPr>
          <w:p>
            <w:pPr>
              <w:spacing w:after="0"/>
              <w:rPr>
                <w:sz w:val="18"/>
                <w:szCs w:val="18"/>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4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4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 income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r>
      <w:tr>
        <w:trPr>
          <w:trHeight w:val="459"/>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760"/>
        <w:spacing w:after="0" w:line="301"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-7620</wp:posOffset>
            </wp:positionV>
            <wp:extent cx="63633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ind w:left="69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47625</wp:posOffset>
            </wp:positionV>
            <wp:extent cx="3533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180" w:type="dxa"/>
            <w:vAlign w:val="bottom"/>
          </w:tcPr>
          <w:p>
            <w:pPr>
              <w:spacing w:after="0"/>
              <w:rPr>
                <w:sz w:val="18"/>
                <w:szCs w:val="18"/>
                <w:color w:val="auto"/>
              </w:rPr>
            </w:pP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 on foreign</w:t>
            </w:r>
          </w:p>
        </w:tc>
        <w:tc>
          <w:tcPr>
            <w:tcW w:w="1560" w:type="dxa"/>
            <w:vAlign w:val="bottom"/>
            <w:gridSpan w:val="5"/>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exchange</w:t>
            </w:r>
          </w:p>
        </w:tc>
      </w:t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 was reclassed from AOCI</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162,446</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1,467</w:t>
            </w:r>
          </w:p>
        </w:tc>
      </w:tr>
      <w:tr>
        <w:trPr>
          <w:trHeight w:val="67"/>
        </w:trPr>
        <w:tc>
          <w:tcPr>
            <w:tcW w:w="4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740"/>
          </w:cols>
          <w:pgMar w:left="240" w:top="117" w:right="9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382905</wp:posOffset>
            </wp:positionV>
            <wp:extent cx="3533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38735</wp:posOffset>
            </wp:positionV>
            <wp:extent cx="3533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80"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7"/>
        </w:trPr>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2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Gain on foreign</w:t>
            </w:r>
          </w:p>
        </w:tc>
        <w:tc>
          <w:tcPr>
            <w:tcW w:w="40" w:type="dxa"/>
            <w:vAlign w:val="bottom"/>
          </w:tcPr>
          <w:p>
            <w:pPr>
              <w:spacing w:after="0"/>
              <w:rPr>
                <w:sz w:val="18"/>
                <w:szCs w:val="18"/>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r>
      <w:tr>
        <w:trPr>
          <w:trHeight w:val="203"/>
        </w:trPr>
        <w:tc>
          <w:tcPr>
            <w:tcW w:w="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exchange</w:t>
            </w:r>
          </w:p>
        </w:tc>
      </w:tr>
      <w:tr>
        <w:trPr>
          <w:trHeight w:val="212"/>
        </w:trPr>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r>
        <w:trPr>
          <w:trHeight w:val="33"/>
        </w:trPr>
        <w:tc>
          <w:tcPr>
            <w:tcW w:w="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1"/>
        </w:trPr>
        <w:tc>
          <w:tcPr>
            <w:tcW w:w="8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
        </w:trPr>
        <w:tc>
          <w:tcPr>
            <w:tcW w:w="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8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80" w:type="dxa"/>
            <w:vAlign w:val="bottom"/>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 was reclassed from AOCI</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319,686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277,750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3,336</w:t>
            </w:r>
          </w:p>
        </w:tc>
        <w:tc>
          <w:tcPr>
            <w:tcW w:w="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63,759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56,906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29,103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4,138</w:t>
            </w:r>
          </w:p>
        </w:tc>
        <w:tc>
          <w:tcPr>
            <w:tcW w:w="4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324"/>
        </w:trPr>
        <w:tc>
          <w:tcPr>
            <w:tcW w:w="80" w:type="dxa"/>
            <w:vAlign w:val="bottom"/>
          </w:tcPr>
          <w:p>
            <w:pPr>
              <w:spacing w:after="0"/>
              <w:rPr>
                <w:sz w:val="24"/>
                <w:szCs w:val="24"/>
                <w:color w:val="auto"/>
              </w:rPr>
            </w:pPr>
          </w:p>
        </w:tc>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4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4,319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4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5"/>
        </w:trPr>
        <w:tc>
          <w:tcPr>
            <w:tcW w:w="59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net investment hedges on accumulated other comprehensive loss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7"/>
          </w:tcPr>
          <w:p>
            <w:pPr>
              <w:spacing w:after="0"/>
              <w:rPr>
                <w:sz w:val="2"/>
                <w:szCs w:val="2"/>
                <w:color w:val="auto"/>
              </w:rPr>
            </w:pPr>
          </w:p>
        </w:tc>
      </w:tr>
      <w:tr>
        <w:trPr>
          <w:trHeight w:val="217"/>
        </w:trPr>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47"/>
        </w:trPr>
        <w:tc>
          <w:tcPr>
            <w:tcW w:w="8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tcBorders>
              <w:bottom w:val="single" w:sz="8" w:color="auto"/>
            </w:tcBorders>
            <w:gridSpan w:val="8"/>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40" w:type="dxa"/>
            <w:vAlign w:val="bottom"/>
            <w:tcBorders>
              <w:bottom w:val="single" w:sz="8" w:color="auto"/>
            </w:tcBorders>
            <w:gridSpan w:val="8"/>
          </w:tcPr>
          <w:p>
            <w:pPr>
              <w:spacing w:after="0"/>
              <w:rPr>
                <w:sz w:val="4"/>
                <w:szCs w:val="4"/>
                <w:color w:val="auto"/>
              </w:rPr>
            </w:pPr>
          </w:p>
        </w:tc>
      </w:tr>
      <w:tr>
        <w:trPr>
          <w:trHeight w:val="217"/>
        </w:trPr>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9"/>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 (Loss) Recognized in AOCI</w:t>
            </w:r>
          </w:p>
        </w:tc>
        <w:tc>
          <w:tcPr>
            <w:tcW w:w="40" w:type="dxa"/>
            <w:vAlign w:val="bottom"/>
          </w:tcPr>
          <w:p>
            <w:pPr>
              <w:spacing w:after="0"/>
              <w:rPr>
                <w:sz w:val="18"/>
                <w:szCs w:val="18"/>
                <w:color w:val="auto"/>
              </w:rPr>
            </w:pPr>
          </w:p>
        </w:tc>
        <w:tc>
          <w:tcPr>
            <w:tcW w:w="274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(Loss) Recognized in AOCI</w:t>
            </w:r>
          </w:p>
        </w:tc>
      </w:tr>
      <w:tr>
        <w:trPr>
          <w:trHeight w:val="47"/>
        </w:trPr>
        <w:tc>
          <w:tcPr>
            <w:tcW w:w="44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investment hedging relationships</w:t>
            </w:r>
          </w:p>
        </w:tc>
        <w:tc>
          <w:tcPr>
            <w:tcW w:w="16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8"/>
                <w:szCs w:val="18"/>
                <w:color w:val="auto"/>
              </w:rPr>
            </w:pPr>
          </w:p>
        </w:tc>
      </w:tr>
      <w:tr>
        <w:trPr>
          <w:trHeight w:val="47"/>
        </w:trPr>
        <w:tc>
          <w:tcPr>
            <w:tcW w:w="44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the SCIO acquisition. The incremental commitments were made pursuant to (and constitute part of) the existing commitments and shall be subject to the terms and conditions applicable to the existing commitments as set forth in the Credit Agreement.</w:t>
      </w:r>
    </w:p>
    <w:p>
      <w:pPr>
        <w:sectPr>
          <w:pgSz w:w="11900" w:h="16838" w:orient="portrait"/>
          <w:cols w:equalWidth="0" w:num="1">
            <w:col w:w="11420"/>
          </w:cols>
          <w:pgMar w:left="240" w:top="117"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 The Credit Facility carried an effective interest rate of 4.2% and 4.0% per annum during the three and six months ended June 30, 2019, respectively, and 3.8% and 3.6% per annum during the three and six months ended June 30, 2018, respectively.</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Credit Agreement are guaranteed by the Company’s material domestic subsidiaries and are secured by all or substantially all of the assets of the Company and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June 30, 2019, the Company was in compliance with all financial and non-financial covenants listed under the Credit Agreement.</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2019, the Company had outstanding indebtedness under the credit facility of $117,000, of which $20,000 is expected to be repaid within the next twelve months and is included under “current portion of long-term borrowings” and of which $97,000 is included under “long-term borrowings” in the unaudited consolidated balance sheets. As of December 31, 2018, the Company had an outstanding indebtedness under the credit facility of $150,000, of which $20,000 was included under “current portion of long-term borrowings,” and the balance of $130,000 was included under “long-term borrowings” in the consolidated balance sheets.</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certain debt issuance costs, which are deferred and amortized as an adjustment to interest expense over the term of the credit facility. The unamortized debt issuance costs as of June 30, 2019 and December 31, 2018 was $877 and $1,006, respectively, and is included under "other current assets" and “other assets” 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and six months ended June 30, 2019, the Company recognized interest expense of $1,269 and $2,581, respectively.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that the Company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 and shares of the Company’s common stock. The Company used the proceeds from the issuance of the Notes to repay $150,000 of its outstanding borrowings under the Credit Facility.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net proceeds from the issuance of the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 The unamortized debt issuance costs is presented as a direct reduction from the Notes in the unaudited consolidated balance sheets. The unamortized debt issuance costs as of June 30, 2019 and December 31, 2018 was $1,125 and $1,127, respectively.</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three and six months ended June 30, 2019, the Company amortized $618 and $1,218, respectively, of the discount to interest expense. At the time of issuance, the Company evaluated the Notes in accordance with ASC 815-15 and determined that the Notes contain a single embedded derivative, being the call option having market interest rates as the underlying, which does not require bifurcation as the features clearly and closely related to the host instrument. The Company determined that the value of this embedded derivative was nominal as of the date of issuance.</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also includes structured payables which are in the nature of debt, amounting to $1,524 and $2,114 as of June 30, 2019 and December 31, 2018, respectively, of which $885 and $1,423 is included under "current portion of long-term borrowings", and $639 and $691, respectively, included under "long-term borrowings" in the unaudited consolidated balance sheets.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principal payments/maturities for all of the Company's borrowings as of June 30,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340" w:type="dxa"/>
            <w:vAlign w:val="bottom"/>
          </w:tcPr>
          <w:p>
            <w:pPr>
              <w:spacing w:after="0"/>
              <w:rPr>
                <w:sz w:val="18"/>
                <w:szCs w:val="18"/>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5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Revolver Credit</w:t>
            </w: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(July - December)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24,693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268,524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2019 and 2018, the Company acquired nil and 3,835 shares of common stock, respectively, from employees in connection with withholding tax payments related to the vesting of restricted stock for a total consideration of $nil and $226, respectively. The weighted average purchase price per share of $nil and $58.82, respectively, was the average of the high and low price of the Company's share of common stock on the Nasdaq Global Select Market on the trading day prior to the vesting date of the shares of restricted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and 2018, the Company acquired 22,666 and 45,646 shares of common stock, respectively, from employees in connection with withholding tax payments related to the vesting of restricted stock for a total consideration of $1,408 and $2,790, respectively. The weighted average purchase price per share of $62.11 and $61.12, respectively, was the average of the high and low price of the Company's share of common stock on the Nasdaq Global Select Market on the trading day prior to the vesting date of the shares of restricted stock.</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2017 through 2019 up to an annual amount of $20,000.</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2019, the Company purchased 198,160 and 438,025 shares of its common stock, respectively, for an aggregate purchase price of approximately $12,130 and $26,130, respectively, including commissions, representing an average purchase price per share of $61.21 and $59.65, respectively, under the 2017 Repurchase Program.</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2018, the Company purchased 165,000 and 347,182 shares of its common stock, respectively, for an aggregate purchase price of approximately $9,407 and $20,346, respectively, including commissions, representing an average purchase price per share of $57.01 and $58.60, respectively, under the 2017 Repurchase Program.</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Board of Directors designates that these shares be retired or used for other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862</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5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7.8% per annum on these Gratuity Plans for the six months ended June 30, 2019.</w:t>
      </w:r>
    </w:p>
    <w:p>
      <w:pPr>
        <w:spacing w:after="0" w:line="118"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2019</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June 30, 2019</w:t>
            </w: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7,351</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*Benefit payments were substantially made through the plan assets during the six months ended June 30, 2019.</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The Company accrued for contributions to the 401(k) Plans of $909 and $755 for the three months ended June 30, 2019 and 2018, respectively, and $2,122 and $1,985 for the six months ended June 30, 2019 and 2018, respectively.</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2019 and 2018, the Company contributed $2,710 and $1,753, respectively, and during the six months ended June 30, 2019 and 2018, the Company contributed $4,714 and $3,667, respectively, for various defined contribution plans on behalf of its employees in India, the Philippines, Bulgaria, Romania, the Czech Republic, South Africa, Colombia, and Singapore.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its contracts with suppliers in accordance with Topic 842 and has determined that, except for leases for office facilities, motor vehicles and other equipments as described above, none of the Company’s contracts contain a lease.</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assessment of the lease term, the Company considers the extension option as part of its lease term for those lease arrangements where the Company is reasonably certain of availing the extension option.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lease agreements do not contain any covenant to impose any restrictions except for market-standard practice for similar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99"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70"/>
        </w:trPr>
        <w:tc>
          <w:tcPr>
            <w:tcW w:w="8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8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3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60"/>
        </w:trPr>
        <w:tc>
          <w:tcPr>
            <w:tcW w:w="87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93,162</w:t>
            </w:r>
          </w:p>
        </w:tc>
      </w:tr>
      <w:tr>
        <w:trPr>
          <w:trHeight w:val="33"/>
        </w:trPr>
        <w:tc>
          <w:tcPr>
            <w:tcW w:w="8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8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23,439</w:t>
            </w:r>
          </w:p>
        </w:tc>
      </w:tr>
      <w:tr>
        <w:trPr>
          <w:trHeight w:val="33"/>
        </w:trPr>
        <w:tc>
          <w:tcPr>
            <w:tcW w:w="8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80,531</w:t>
            </w:r>
          </w:p>
        </w:tc>
      </w:tr>
      <w:tr>
        <w:trPr>
          <w:trHeight w:val="217"/>
        </w:trPr>
        <w:tc>
          <w:tcPr>
            <w:tcW w:w="8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103,970</w:t>
            </w:r>
          </w:p>
        </w:tc>
      </w:tr>
      <w:tr>
        <w:trPr>
          <w:trHeight w:val="33"/>
        </w:trPr>
        <w:tc>
          <w:tcPr>
            <w:tcW w:w="8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8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8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1,888</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33"/>
        </w:trPr>
        <w:tc>
          <w:tcPr>
            <w:tcW w:w="8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64"/>
        </w:trPr>
        <w:tc>
          <w:tcPr>
            <w:tcW w:w="8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r>
      <w:tr>
        <w:trPr>
          <w:trHeight w:val="33"/>
        </w:trPr>
        <w:tc>
          <w:tcPr>
            <w:tcW w:w="8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2019, the Company performed an impairment test of its long-lived assets of its Health Integrated business. Based on the results, the operating lease right-of-use assets carrying value exceeded their fair value. The primary factor contributing to a reduction in the fair value is the commencement of the wind down of the Health Integrated business, and an anticipated reduction to the Company's estimated future cash flows. As a result of this analysis, the Company recognized an impairment charge of $989 during the three and six months ended June 30, 2019 to write down the carrying value of operating lease right-of-use to its fair value. This impairment charge was recorded in the unaudited consolidated statements of income under "Impairment and restructuring charges". Refer Note 24 to the unaudited consolidated financial statements for further details.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Lease cost</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6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60"/>
        </w:trPr>
        <w:tc>
          <w:tcPr>
            <w:tcW w:w="64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6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w:t>
            </w:r>
            <w:r>
              <w:rPr>
                <w:rFonts w:ascii="Times New Roman" w:cs="Times New Roman" w:eastAsia="Times New Roman" w:hAnsi="Times New Roman"/>
                <w:sz w:val="21"/>
                <w:szCs w:val="21"/>
                <w:b w:val="1"/>
                <w:bCs w:val="1"/>
                <w:color w:val="auto"/>
                <w:vertAlign w:val="superscript"/>
              </w:rPr>
              <w:t>(a)</w:t>
            </w:r>
          </w:p>
        </w:tc>
        <w:tc>
          <w:tcPr>
            <w:tcW w:w="50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6,684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13,701</w:t>
            </w: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Sublease income</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6,691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13,828</w:t>
            </w:r>
          </w:p>
        </w:tc>
      </w:tr>
      <w:tr>
        <w:trPr>
          <w:trHeight w:val="33"/>
        </w:trPr>
        <w:tc>
          <w:tcPr>
            <w:tcW w:w="6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Operating lease cost for leases classified as such under Topic 840 for the three and six months ended June 30, 2018 was $6,057 and $12,479, respectively.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Includes short-term leases, which are immaterial.</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8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amounts included in the measurement of lease liabilities :</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4"/>
        </w:trPr>
        <w:tc>
          <w:tcPr>
            <w:tcW w:w="8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13,749</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r>
      <w:tr>
        <w:trPr>
          <w:trHeight w:val="224"/>
        </w:trPr>
        <w:tc>
          <w:tcPr>
            <w:tcW w:w="8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207</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27,750</w:t>
            </w:r>
          </w:p>
        </w:tc>
      </w:tr>
      <w:tr>
        <w:trPr>
          <w:trHeight w:val="22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Finance lease</w:t>
            </w:r>
          </w:p>
        </w:tc>
        <w:tc>
          <w:tcPr>
            <w:tcW w:w="4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 years</w:t>
            </w:r>
          </w:p>
        </w:tc>
      </w:tr>
      <w:tr>
        <w:trPr>
          <w:trHeight w:val="33"/>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 years</w:t>
            </w:r>
          </w:p>
        </w:tc>
      </w:tr>
      <w:tr>
        <w:trPr>
          <w:trHeight w:val="22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Finance lease</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24"/>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bl>
    <w:p>
      <w:pPr>
        <w:spacing w:after="0" w:line="200" w:lineRule="exact"/>
        <w:rPr>
          <w:sz w:val="20"/>
          <w:szCs w:val="20"/>
          <w:color w:val="auto"/>
        </w:rPr>
      </w:pPr>
    </w:p>
    <w:p>
      <w:pPr>
        <w:spacing w:after="0" w:line="24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lease liabilities as of June 30, 2019 are as follows:</w:t>
      </w:r>
    </w:p>
    <w:p>
      <w:pPr>
        <w:spacing w:after="0" w:line="191"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8"/>
                <w:szCs w:val="18"/>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33"/>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(July 1 - December 31)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and 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135,120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921</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103,970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753</w:t>
            </w:r>
          </w:p>
        </w:tc>
      </w:tr>
      <w:tr>
        <w:trPr>
          <w:trHeight w:val="33"/>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minimum lease payments as of December 31, 2018 are as follows:</w:t>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During the next twelve months ending December 31,</w:t>
            </w:r>
          </w:p>
        </w:tc>
        <w:tc>
          <w:tcPr>
            <w:tcW w:w="280" w:type="dxa"/>
            <w:vAlign w:val="bottom"/>
          </w:tcPr>
          <w:p>
            <w:pPr>
              <w:spacing w:after="0"/>
              <w:rPr>
                <w:sz w:val="19"/>
                <w:szCs w:val="19"/>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60" w:type="dxa"/>
            <w:vAlign w:val="bottom"/>
          </w:tcPr>
          <w:p>
            <w:pPr>
              <w:spacing w:after="0"/>
              <w:rPr>
                <w:sz w:val="19"/>
                <w:szCs w:val="19"/>
                <w:color w:val="auto"/>
              </w:rPr>
            </w:pPr>
          </w:p>
        </w:tc>
        <w:tc>
          <w:tcPr>
            <w:tcW w:w="15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Capital Leases</w:t>
            </w:r>
          </w:p>
        </w:tc>
      </w:tr>
      <w:tr>
        <w:trPr>
          <w:trHeight w:val="33"/>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and 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114,171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673</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minimum lease payments</w:t>
            </w: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capital lease obligation</w:t>
            </w: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$2,670 and $5,510 for the three months ended June 30, 2019 and 2018, respectively. The effective tax rate decreased from 27.5% during the three months ended June 30, 2018 to 17.5% during the three months ended June 30, 2019, primarily due to impact of change in effective state tax rates during the three months ended June 30, 2019.</w:t>
      </w:r>
    </w:p>
    <w:p>
      <w:pPr>
        <w:spacing w:after="0" w:line="6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$6,870 and $1,057 for the six months ended June 30, 2019 and 2018, respectively. The effective tax rate increased from 2.7% during the six months ended June 30, 2018 to 20.1% during the six months ended June 30, 2019, primarily as a result of (i) an adjustment of $4,836 reducing the provisional transition tax on the mandatory deemed repatriation of accumulated earnings and profits ("E&amp;P") of foreign subsidiaries recognized during the six months ended June 30, 2018 and (ii) the recording of excess tax benefits related to stock awards of $5,150 pursuant to ASU No. 2016-09 during the six months ended June 30, 2018 compared to $1,072 during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plans are included in the unaudited consolidated statements of income:</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28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3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2,463</w:t>
            </w: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2,781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5,349</w:t>
            </w:r>
          </w:p>
        </w:tc>
      </w:tr>
      <w:tr>
        <w:trPr>
          <w:trHeight w:val="27"/>
        </w:trPr>
        <w:tc>
          <w:tcPr>
            <w:tcW w:w="5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4,155</w:t>
            </w: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7,155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14,111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11,967</w:t>
            </w:r>
          </w:p>
        </w:tc>
      </w:tr>
      <w:tr>
        <w:trPr>
          <w:trHeight w:val="27"/>
        </w:trPr>
        <w:tc>
          <w:tcPr>
            <w:tcW w:w="5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2019, the Company had 2,672,199 shares available for grant under the 2018 Omnibus Incentive Plan.</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7"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15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86"/>
        </w:trPr>
        <w:tc>
          <w:tcPr>
            <w:tcW w:w="512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126,975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2019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126,975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compensation cost for unvested options as of June 30, 2019 was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9"/>
        </w:trPr>
        <w:tc>
          <w:tcPr>
            <w:tcW w:w="52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5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953,578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466,173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56.35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54,769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1,013,626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firstLine="413"/>
        <w:spacing w:after="0" w:line="283" w:lineRule="auto"/>
        <w:tabs>
          <w:tab w:leader="none" w:pos="551"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June 30, 2019 and December 31, 2018 restricted stock units vested for which the underlying common stock is yet to be issued are 163,181 and 155,753,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2019, unrecognized compensation cost of $53,355 is expected to be expensed over a weighted average period of 2.89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 based restricted stock unit (the “PRSUs”) activity under the Company’s stock-based compensation plans is shown below:</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154,415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2019, unrecognized compensation cost of $12,424 is expected to be expensed over a weighted average period of 2.01 years.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Impairment and Restructuring Charges</w:t>
      </w:r>
    </w:p>
    <w:p>
      <w:pPr>
        <w:spacing w:after="0" w:line="243" w:lineRule="exact"/>
        <w:rPr>
          <w:sz w:val="20"/>
          <w:szCs w:val="20"/>
          <w:color w:val="auto"/>
        </w:rPr>
      </w:pPr>
    </w:p>
    <w:p>
      <w:pPr>
        <w:jc w:val="both"/>
        <w:ind w:firstLine="405"/>
        <w:spacing w:after="0" w:line="269" w:lineRule="auto"/>
        <w:rPr>
          <w:sz w:val="20"/>
          <w:szCs w:val="20"/>
          <w:color w:val="auto"/>
        </w:rPr>
      </w:pPr>
      <w:r>
        <w:rPr>
          <w:rFonts w:ascii="Times New Roman" w:cs="Times New Roman" w:eastAsia="Times New Roman" w:hAnsi="Times New Roman"/>
          <w:sz w:val="18"/>
          <w:szCs w:val="18"/>
          <w:color w:val="auto"/>
        </w:rPr>
        <w:t xml:space="preserve">On March 29, 2019, the Company commenced the process of substantially winding down of the operations of the Health Integrated business, which is reported within the Healthcare reportable segment. The Company had previously disclosed in its Annual Report on Form 10-K for the year ended December 31, 2018 filed with the Securities and Exchange Commission (“SEC”) on February 28, 2019, the operating results of this business were significantly below the Company’s estimates and future estimated cash flows are impacted due to loss of customer contracts and cost pressures, and the Company continues to incur losses from this business. The Company expects the wind down process to be substantially completed by the end of 2019. In connection with the wind down process, the Company recorded pre-tax costs in the unaudited consolidated statements of income under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mpairment and restructuring charges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following table summarizes the activity related to the costs incurred and paid for the wind down during the three and six months ended June 30, 2019:</w:t>
      </w:r>
    </w:p>
    <w:p>
      <w:pPr>
        <w:spacing w:after="0" w:line="33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Associated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incurred during the three and six months ended June 30, 2019</w:t>
            </w:r>
          </w:p>
        </w:tc>
        <w:tc>
          <w:tcPr>
            <w:tcW w:w="1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Cumulative costs incurred as of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paid during the three and six months ended June 30, 2019</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expected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the Company recognized impairment on ROU assets and long-lived assets of $1,940 and $3,167 during the three and six months ended June 30, 2019, respectively in the unaudited consolidated statements of income under "Impairment and restructuring charges".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Costs and cash expenditures expected to be incurred are subject to a number of assumptions, and the Company may incur additional costs not currently contemplated due to events that may occur as a result of, or that are associated with the wind down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Disclosures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had outstanding Notes with a principal amount of $150,000 as of June 30, 2019 and December 31, 2018 and interest accrued of $1,313 each as of June 30, 2019 and December 31, 2018, related to the Investment Agreement. Refer Note 18 to the unaudited consolidated financial statements for details.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consulting services to PharmaCord, LLC. One of the Company’s directors, Nitin Sahney, is the member-manager and chief executive officer of PharmaCord, LLC. The Company recognized revenue of $nil each during the three and six months ended June 30, 2019, and $16 and $215 during the three and six months ended June 30, 2018, respectively, for services provided.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2019 and December 31, 2018, the Company had accounts receivable of $nil and $5, respectively, related to these services.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June 30, 2019, the Company has committed to spend approximately $7,495 under agreements to purchase property and equipment. This amount is net of capital advances paid in respect of these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March 2017, the Company was named as a defendant in a putative class action lawsuit filed in California, which challenged the classification of independent contractors. The parties participated in a mediation in early 2018. As the result of the mediation, a settlement was reached pursuant to which the Company agreed, without admission of wrongdoing, to pay a total of $2,400, of which $1,200 was paid in 2018 and the remainder has been paid during the three months ended March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and India, tax year 2015 and subsequent tax years remain open for examination by the tax authorities as of June 30, 2019.</w:t>
      </w:r>
    </w:p>
    <w:p>
      <w:pPr>
        <w:spacing w:after="0" w:line="18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aggregate amount demanded by Income tax authorities (net of advance payments, if any) from the Company primarily related to its transfer pricing issues for tax years 2003 to 2014 and its permanent establishment issues for tax years 2003 to 2007 as of June 30, 2019 and December 31, 2018 is $17,924 and $18,177, respectively, of which the Company has made payments or provided bank guarantees to the extent of $8,262 and $8,171, respectively. Amounts paid as deposits in respect of such assessments aggregating to $6,343 and $6,272 as of June 30, 2019 and December 31, 2018, respectively, are included in “Other assets” and amounts deposited for bank guarantees aggregating to $1,919 and $1,899 as of June 30, 2019 and December 31, 2018, respectively, are included in “Restricted cash” in the non-current assets section of the Company’s unaudited consolidated balance sheets.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2019, there was a judicial pronouncement in India with respect to defined contribution benefits payments interpreting certain statutory defined contribution obligations of employees and employers. It is unclear whether the interpretation set out in the pronouncement has retrospective application. If applied retrospectively, the interpretation would result in an increase in contributions payable by the Company for past and future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analysis.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2018. Some of the statements in the following discussion are forward looking statements. Dollar amounts within Item 2 are presented as actual, rounded, dollar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81" w:lineRule="exact"/>
        <w:rPr>
          <w:sz w:val="20"/>
          <w:szCs w:val="20"/>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the costs and/or timing of winding down businesses;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entire book value of goodwill and other intangible assets from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1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2018. These and other risks could cause actual results to differ materially from those implied by forward-looking statements in this Quarterly Report on Form 10-Q.</w:t>
      </w:r>
    </w:p>
    <w:p>
      <w:pPr>
        <w:spacing w:after="0" w:line="5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events or how they may affect us. We have no obligation to update any forward-looking statements in this Quarterly Report on Form 10-Q after the date of this Quarterly Report on Form 10-Q, except as required by federal securities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right="580" w:hanging="327"/>
        <w:spacing w:after="0" w:line="261"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1, 2018, we completed the acquisition of SCIO pursuant to the Merger Agreement. The acquisition of SCIO is included in the Analytics reportable segment. 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we had revenues of $243.5 million compared to revenues of $210.1 million for the three months ended June 30, 2018, an increase of $33.4 million, or 15.9%. For the six months ended June 30, 2019, we had revenues of $483.1 million compared to revenues of $417.1 million for the six months ended June 30, 2018, an increase of $66.0 million, or 15.8%.</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serve clients mainly in the U.S. and the U.K., with these two regions generating 81.3% and 12.4%, respectively, of our total revenues for the three months ended June 30, 2019, and 82.9% and 13.1%, respectively, of our revenues for the three months ended June 30, 2018. For the six months ended June 30, 2019, these two regions generated 81.6% and 12.3%, respectively, of our total revenues and 82.8% and 13.3%, respectively, of our total revenues for the six months ended June 30, 2018.</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2019 and 2018, our total revenues from our top ten clients accounted for 36.5% and 39.0% of our total revenues, respectively. For the six months ended June 30, 2019 and 2018, our total revenues from our top ten clients accounted for 36.5% and 39.3%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Services: </w:t>
      </w:r>
      <w:r>
        <w:rPr>
          <w:rFonts w:ascii="Times New Roman" w:cs="Times New Roman" w:eastAsia="Times New Roman" w:hAnsi="Times New Roman"/>
          <w:sz w:val="18"/>
          <w:szCs w:val="18"/>
          <w:color w:val="auto"/>
        </w:rPr>
        <w:t>We provide our clients with a range of operations management services principally in the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provides industry-specific digital transformational services.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 We actively cross-sell and, where appropriate, integrate our Analytics services with other operations management services as part of a comprehensive offering set for our clients.</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2019 and 2018:</w:t>
      </w:r>
    </w:p>
    <w:p>
      <w:pPr>
        <w:sectPr>
          <w:pgSz w:w="11900" w:h="16838" w:orient="portrait"/>
          <w:cols w:equalWidth="0" w:num="1">
            <w:col w:w="11320"/>
          </w:cols>
          <w:pgMar w:left="240" w:top="333" w:right="339" w:bottom="1440" w:gutter="0" w:footer="0" w:header="0"/>
        </w:sectPr>
      </w:pPr>
    </w:p>
    <w:p>
      <w:pPr>
        <w:spacing w:after="0" w:line="34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24765</wp:posOffset>
            </wp:positionV>
            <wp:extent cx="1680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4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24765</wp:posOffset>
            </wp:positionV>
            <wp:extent cx="1680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24765</wp:posOffset>
            </wp:positionV>
            <wp:extent cx="16294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24765</wp:posOffset>
            </wp:positionV>
            <wp:extent cx="16294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49" w:lineRule="exact"/>
        <w:rPr>
          <w:sz w:val="20"/>
          <w:szCs w:val="20"/>
          <w:color w:val="auto"/>
        </w:rPr>
      </w:pPr>
    </w:p>
    <w:p>
      <w:pPr>
        <w:sectPr>
          <w:pgSz w:w="11900" w:h="16838" w:orient="portrait"/>
          <w:cols w:equalWidth="0" w:num="2">
            <w:col w:w="8500" w:space="720"/>
            <w:col w:w="2100"/>
          </w:cols>
          <w:pgMar w:left="240" w:top="333" w:right="339" w:bottom="1440" w:gutter="0" w:footer="0" w:header="0"/>
          <w:type w:val="continuous"/>
        </w:sectPr>
      </w:pPr>
    </w:p>
    <w:tbl>
      <w:tblPr>
        <w:tblLayout w:type="fixed"/>
        <w:tblInd w:w="120" w:type="dxa"/>
        <w:tblCellMar>
          <w:top w:w="0" w:type="dxa"/>
          <w:left w:w="0" w:type="dxa"/>
          <w:bottom w:w="0" w:type="dxa"/>
          <w:right w:w="0" w:type="dxa"/>
        </w:tblCellMar>
      </w:tblPr>
      <w:tr>
        <w:trPr>
          <w:trHeight w:val="26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417.1</w:t>
            </w:r>
          </w:p>
        </w:tc>
      </w:tr>
      <w:tr>
        <w:trPr>
          <w:trHeight w:val="270"/>
        </w:trPr>
        <w:tc>
          <w:tcPr>
            <w:tcW w:w="58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r>
      <w:tr>
        <w:trPr>
          <w:trHeight w:val="264"/>
        </w:trPr>
        <w:tc>
          <w:tcPr>
            <w:tcW w:w="588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81.1</w:t>
            </w:r>
          </w:p>
        </w:tc>
        <w:tc>
          <w:tcPr>
            <w:tcW w:w="1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139.3</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1"/>
        </w:trPr>
        <w:tc>
          <w:tcPr>
            <w:tcW w:w="5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r>
      <w:tr>
        <w:trPr>
          <w:trHeight w:val="243"/>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5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w:t>
            </w:r>
          </w:p>
        </w:tc>
      </w:tr>
      <w:tr>
        <w:trPr>
          <w:trHeight w:val="27"/>
        </w:trPr>
        <w:tc>
          <w:tcPr>
            <w:tcW w:w="5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r>
      <w:tr>
        <w:trPr>
          <w:trHeight w:val="27"/>
        </w:trPr>
        <w:tc>
          <w:tcPr>
            <w:tcW w:w="5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37.7</w:t>
            </w:r>
          </w:p>
        </w:tc>
      </w:tr>
      <w:tr>
        <w:trPr>
          <w:trHeight w:val="27"/>
        </w:trPr>
        <w:tc>
          <w:tcPr>
            <w:tcW w:w="5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37.6</w:t>
            </w:r>
          </w:p>
        </w:tc>
      </w:tr>
      <w:tr>
        <w:trPr>
          <w:trHeight w:val="27"/>
        </w:trPr>
        <w:tc>
          <w:tcPr>
            <w:tcW w:w="5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20"/>
          </w:cols>
          <w:pgMar w:left="240" w:top="333" w:right="3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2019 Compared to Three Months Ended June 30, 2018</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three months ended June 30, 2019 and 2018:</w:t>
      </w:r>
    </w:p>
    <w:p>
      <w:pPr>
        <w:spacing w:after="0" w:line="3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three months ended June 30, 2019 were $243.5 million, up $33.4 million, or 15.9%, compared to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$7.4 million was primarily driven by expansion of business from our new and existing clients of $8.2 million. This was partially offset by $0.8 million mainly attributable to the depreciation of the Australian dollar, Indian rupee and U.K. pound sterling against the U.S. dollar during the three months ended June 30, 2019 compared to the three months ended June 30, 2018. Insurance revenues were 29.7% and 30.8% of our total revenues in the three months ended June 30, 2019 and June 30, 2018, respectively.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Healthcare of $0.2 million was primarily driven by expansion of business from our new and existing clients of $0.8 million. This was partially offset by lower revenues from our Health Integrated business of $0.6 million. Healthcare revenues were 8.2% and 9.4% of our total revenues in the three months ended June 30, 2019 and June 30, 2018,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$1.1 million was primarily driven by impact of discounts in our existing clients of $1.0 million and the remaining $0.1 million attributable to the depreciation of the Indian rupee against the U.S. dollar during the three months ended June 30, 2019 compared to the three months ended June 30, 2018. TT&amp;L revenues were 7.2% and 8.8% of our total revenues in the three months ended June 30, 2019 and June 30,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$2.2 million was driven by expansion of business from our new and existing clients of $2.5 million. This was partially offset by $0.3 million mainly attributable to the depreciation of the Indian rupee against the U.S. dollar during the three months ended June 30, 2019 compared to the three months ended June 30, 2018. F&amp;A revenues were 10.9% and 11.5% of our total revenues in the three months ended June 30, 2019 and June 30,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All Other of $3.6 million was primarily driven by lower revenue of $2.4 million in our Consulting operating segment, $0.5 million in our Utilities operating segment and $0.4 million in our Banking and Financial Services operating segment. Further decline of $0.3 million was due to the depreciation of the Indian rupee and U.K. pound sterling against the U.S. dollar during the three months ended June 30, 2019 compared to the three months ended June 30, 2018. All Other revenues were 8.0% and 11.0% of our total revenues in the three months ended June 30, 2019 and June 30, 2018, respectively.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growth in Analytics of $28.3 million was primarily driven by our acquisition of SCIO in July 2018 contributing $18.8 million. The remaining increase of $9.8 million was attributable to our recurring- and project-based engagements from our new and existing clients. This was partially offset by $0.3 million attributable to the depreciation of the U.K. pound sterling against the U.S. dollar during the three months ended June 30, 2019 compared to the three months ended June 30, 2018. Analytics revenues were 36.1% and 28.4% of our total revenues in the three months ended June 30, 2019 and June 30, 2018,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3"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cost of revenues was $162.4 million compared to $139.6 million for the three months ended June 30, 2018, an increase of $22.8 million, or 16.3%. Our gross margin for the three months ended June 30, 2019 was 33.3% compared to 33.5% for three months ended June 30, 2018, a decrease of 20 basis points (“bps”).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Insurance of $5.9 million was primarily due to an increase in employee-related costs of $6.0 million on account of higher headcount and wage inflation, higher technology, travel and other operating costs of $0.6 million, partially offset by currency movements, net of hedging of $0.7 million. Gross margin in Insurance decreased by 120 bps during the three months ended June 30, 2019 compared to the three months ended June 30, 2018, primarily due to higher employee-related costs and other operating expenses.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in Healthcare of $0.2 million was primarily due to an increase in employee-related costs of $0.7 million on account of higher headcount and wage inflation, partially offset by lower other operating costs of $0.2 million and currency movements, net of hedging of $0.3 million. Gross margin in Healthcare remains unchanged during the three months ended June 30, 2019 compared to the three months ended June 30, 2018.</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$0.6 million was primarily due to a decrease in employee-related costs, infrastructure costs and other operating costs of $0.4 million and currency movements, net of hedging of $0.2 million. Gross margin in TT&amp;L increased by 40 bps during the three months ended June 30, 2019 compared to the three months ended June 30, 2018, primarily due to lower operating expenses.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F&amp;A of $1.5 million was primarily due to higher employee-related costs of $1.3 million and travel costs of $0.5 million, partially offset by lower infrastructure costs and other operating costs of $0.1 million and currency movements, net of hedging of $0.2 million. Gross margin in F&amp;A decreased by 50 bps during the three months ended June 30, 2019 compared to the three months ended June 30, 2018, primarily due to higher operating expenses.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All Other of $2.9 million was primarily due to a decrease in employee-related costs of $2.2 million, and net decrease in other operating costs of $0.5 million and currency movements, net of hedging of $0.2 million. Gross margin in All Other increased by 220 bps during the three months ended June 30, 2019 compared to the three months ended June 30, 2018, primarily due to lower operating expenses in Banking and Financial services and Utilities operating segments.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$18.7 million was primarily due to an increase in employee-related costs of $16.2 million on account of higher headcount and wage inflation, including incremental cost related to our acquisition of SCIO in July 2018 of $9.9 million. The remaining increase was attributable to travel and other operating costs of $3.0 million, partially offset by currency movements, net of hedging of $0.5 million. Gross margin in Analytics decreased by 60 bps during the three months ended June 30, 2019 compared to the three months ended June 30, 2018, primarily due to increase in employee-related costs.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8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552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5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2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6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SG&amp;A expenses of $6.0 million was primarily due to an increase in employee-related costs of $5.0 million, including incremental costs related to our SCIO acquisition in July 2018 of $3.6 million and net other operating costs of $1.5 million. This was partially offset by currency movements, net of hedging of $0.5 million.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intangibles amortization expense of $1.8 million was primarily due to the increase in amortization of intangibles associated with our SCIO acquisition in July 2018. The increase in depreciation expense of $0.4 million was due to depreciation related to our new operating centers commenced during 2018 to support our business growth and depreciation associated with our SCIO acquisition.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29, 2019, we commenced the process of substantially winding down of the operations of our Health Integrated business, which is reported within the Healthcare reportable segment. During the three months ended June 30, 2019, we recorded impairment charges of $1.9 million and restructuring charges of $3.7 million in connection with the wind down process. See Note 24 to our unaudited consolidated financial statements for details.</w:t>
      </w:r>
    </w:p>
    <w:p>
      <w:pPr>
        <w:spacing w:after="0" w:line="17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decreased by $3.2 million, or 18.9%, from $17.1 million for the three months ended June 30, 2018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$13.9 million for the three months ended June 30, 2019. As a percentage of revenues, income from operations decreased from 8.1% for the three months ended June 30, 2018 to 5.7% for the three months ended June 30, 2019.</w:t>
      </w:r>
    </w:p>
    <w:p>
      <w:pPr>
        <w:spacing w:after="0" w:line="27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three months ended June 30, 2019. The average exchange rate of the U.S. dollar against the Indian rupee increased from 67.51 during the three months ended June 30, 2018 to 69.42 during the three months ended June 30, 2019. The average exchange rate of the U.K. pound sterling against the U.S. dollar decreased from 1.34 during the three months ended June 30, 2018 to 1.28 during the three months ended June 30, 2019. The average exchange rate of the U.S. dollar against the Philippine peso decreased from 52.53 during the three months ended June 30, 2018 to 51.84 during the three months ended June 30, 2019.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$1.2 million for the three months ended June 30, 2019 compared to the net foreign exchange gain of $1.4 million for the three months ended June 30, 2018.</w:t>
      </w:r>
    </w:p>
    <w:p>
      <w:pPr>
        <w:spacing w:after="0" w:line="158"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$0.7 million for the three months ended June 30, 2018 to $3.9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primarily due to increase in borrowings under our Credit Facility, issuance of convertible notes and higher effective interest rates.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111.9 %</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by $1.9 million, from $2.2 million for the three months ended June 30, 2018 to $4.1 million for the three months ended June 30, 2019, primarily due to a higher return on our mutual fund investments of $1.6 million and an increase in interest and dividend income of $0.4 million during the three months ended June 30, 2019 compared to three months ended June 30, 2018.</w:t>
      </w:r>
    </w:p>
    <w:p>
      <w:pPr>
        <w:spacing w:after="0" w:line="17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$2.7 million and $5.5 million for the three months ended June 30, 2019 and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 decreased from 27.5% during the three months ended June 30, 2018 to 17.5% during the three months ended June 30, 2019, primarily due to impact of change in effective state tax rates during the three months ended June 30, 2019.</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$14.4 million for the three months ended June 30, 2018 to $12.5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primarily due to higher interest expense of $3.2 million, decrease in income from operations of $3.2 million and lower foreign exchange gain of $0.2 million, partially offset by lower income tax expense of $2.8 million and increase in other income, net of $1.9 million. As a percentage of revenues, net income decreased from 6.9% for the three months ended June 30, 2018 to 5.2% for the 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to Six Months Ended June 30, 2018</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six months ended June 30, 2019 and 2018:</w:t>
      </w:r>
    </w:p>
    <w:p>
      <w:pPr>
        <w:spacing w:after="0" w:line="3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for the six months ended June 30, 2019 were $483.1 million, up $66.0 million, or 15.8%, compared to the six months ended June 30, 2018.</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$12.6 million was primarily driven by expansion of business from our new and existing clients of $14.6 million. This was partially offset by $2.0 million mainly attributable to the depreciation of the Australian dollar, Indian rupee and U.K. pound sterling against the U.S. dollar during the six months ended June 30, 2019 compared to the six months ended June 30, 2018. Insurance revenues were 29.2% and 30.9% of our total revenues in the six months ended June 30, 2019 and June 30, 2018, respectively.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decline in Healthcare of $2.0 million was primarily driven by lower revenues from our Health Integrated business of $3.1 million. This was partially offset by $1.1 million mainly attributable to expansion of business from our new and existing clients. Healthcare revenues were 8.4% and 10.2% of our total revenues in the six months ended June 30, 2019 and June 30, 2018,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$1.1 million was primarily driven by $0.7 million attributable to net lower volumes and $0.4 million attributable to the depreciation of the Indian rupee and Philippine peso against the U.S. dollar during the six months ended June 30, 2019 compared to the six months ended June 30, 2018. TT&amp;L revenues were 7.2% and 8.6% of our total revenues in the six months ended June 30, 2019 and June 30,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$3.9 million was driven by net volume increases from our new and existing clients of $4.9 million. This was partially offset by $1.0 million mainly attributable to the depreciation of the Indian rupee, U.K. pound sterling and Australian dollar against the U.S. dollar during the six months ended June 30, 2019 compared to the six months ended June 30, 2018. F&amp;A revenues were 10.8% and 11.6% of our total revenues in the six months ended June 30, 2019 and June 30,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All Other of $5.5 million was primarily driven by lower revenues of $2.7 million in our Consulting operating segment, $1.2 million in our Banking and Financial Services operating segment and $0.4 million in our Utilities operating segment. Further decline of $1.2 million was due to the depreciation of the Indian rupee and U.K. pound sterling against the U.S. dollar during the six months ended June 30, 2019 compared to the six months ended June 30, 2018. All Other revenues were 8.1% and 10.7% of our total revenues in the six months ended June 30, 2019 and June 30, 2018, respectively.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growth in Analytics of $58.1 million was primarily driven by our acquisition of SCIO in July 2018 contributing $37.9 million. The remaining increase of $21.0 million was attributable to our recurring- and project-based engagements from our new and existing clients. This was partially offset by $0.8 million attributable to the depreciation of the U.K. pound sterling and Indian rupee against the U.S. dollar during the six months ended June 30, 2019 compared to the six months ended June 30, 2018. Analytics revenues were 36.2% and 28.0% of our total revenues in the six months ended June 30, 2019 and June 30, 2018,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3"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40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cost of revenues was $319.7 million compared to $277.8 million for the six months ended June 30, 2018, an increase of $41.9 million, or 15.1%. Our gross margin for the six months ended June 30, 2019 was 33.8% compared to 33.4% for six months ended June 30, 2018, an increase of 40 basis points (“bps”).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Insurance of $10.1 million was primarily due to an increase in employee-related costs of $11.6 million on account of higher headcount and wage inflation. Further increase was due to higher technology, travel and infrastructure costs of $1.9 million, partially offset by lower other operating costs of $1.7 million and currency movements, net of hedging of $1.7 million. Gross margin in Insurance decreased by 120 bps during the six months ended June 30, 2019 compared to the six months ended June 30, 2018, primarily due to higher operating expenses associated with the initiation of services for new clients.</w:t>
      </w:r>
    </w:p>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Healthcare of $0.1 million was primarily due to currency movements, net of hedging of $0.6 million and decrease in infrastructure and other operating costs of $0.5 million, partially offset by higher employee-related costs of $1.0 million. Gross margin in Healthcare decreased by 370 bps during the six months ended June 30, 2019 compared to the six months ended June 30, 2018, primarily due to the impact of our Health Integrated business and higher employee-related costs.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$1.3 million was primarily due to currency movements, net of hedging of $0.5 million and decrease in infrastructure costs of $0.4 million, employee-related costs of $0.2 million and other operating costs of $0.2 million. Gross margin in TT&amp;L increased by 180 bps during the six months ended June 30, 2019 compared to the six months ended June 30, 2018, primarily due to lower operating expenses.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F&amp;A of $1.0 million was primarily due to an increase in employee-related costs of $1.8 million on account of higher headcount and wage inflation, partially offset by lower infrastructure costs of $0.4 million and currency movements, net of hedging of $0.4 million. Gross margin in F&amp;A increased by 270 bps during the six months ended June 30, 2019 compared to the six months ended June 30, 2018, primarily due to higher margin in existing clients and lower operating expenses.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All Other of $5.4 million was primarily due to a decrease in employee-related costs of $3.5 million, lower travel, infrastructure and other operating costs of $1.2 million and currency movements, net of hedging of $0.7 million. Gross margin in All Other increased by 440 bps during the six months ended June 30, 2019 compared to the six months ended June 30, 2018, primarily due to better utilization in consulting and margin improvement in Utilities operating segments.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Analytics of $37.6 million was primarily due to an increase in employee-related costs of $31.4 million on account of higher headcount and wage inflation, including incremental cost related to our acquisition of SCIO in July 2018 of $20.0 million. The remaining increase was attributable to other operating costs of $7.5 million, partially offset by currency movements, net of hedging of $1.3 million. Gross margin in Analytics increased by 30 bps during the six months ended June 30, 2019 compared to the six months ended June 30, 2018, primarily due to higher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44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51"/>
        </w:trPr>
        <w:tc>
          <w:tcPr>
            <w:tcW w:w="55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556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8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SG&amp;A expenses of $13.5 million was primarily due to an increase in employee-related costs of $12.6 million, including incremental costs related to our SCIO acquisition in July 2018 of $7.3 million and net increase in other operating costs of $2.1 million. This was partially offset by currency movements, net of hedging of $1.2 million.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55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intangibles amortization expense of $3.4 million was primarily due to an increase in amortization of intangibles associated with our SCIO acquisition in July 2018. The increase in depreciation expense of $1.9 million was due to depreciation related to our new operating centers commenced during 2018 to support our business growth and depreciation associated with our SCIO acquisition.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500" w:type="dxa"/>
            <w:vAlign w:val="bottom"/>
            <w:tcBorders>
              <w:bottom w:val="single" w:sz="8" w:color="auto"/>
            </w:tcBorders>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29, 2019, we commenced the process of substantially winding down of the operations of the Health Integrated business, which is reported within the Healthcare reportable segment. During the six months ended June 30, 2019, we recorded impairment charges of $3.2 million and restructuring charges of $3.6 million in connection with the wind down process. See Note 24 to our unaudited consolidated financial statements for details.</w:t>
      </w:r>
    </w:p>
    <w:p>
      <w:pPr>
        <w:spacing w:after="0" w:line="17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decreased by $1.5 million, or 4.7%, from $32.2 million for the six months ended June 30, 2018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$30.7 million for the six months ended June 30, 2019. As a percentage of revenues, income from operations decreased from 7.7% for the six months ended June 30, 2018 to 6.4% for the six months ended June 30, 2019.</w:t>
      </w:r>
    </w:p>
    <w:p>
      <w:pPr>
        <w:spacing w:after="0" w:line="27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six months ended June 30, 2019. The average exchange rate of the U.S. dollar against the Indian rupee increased from 66.08 during the six months ended June 30, 2018 to 69.87 during the six months ended June 30, 2019. The average exchange rate of the U.K. pound sterling against the U.S. dollar decreased from 1.37 during the six months ended June 30, 2018 to 1.30 during the six months ended June 30, 2019. The average exchange rate of the U.S. dollar against the Philippine peso decreased from 52.19 during the six months ended June 30, 2018 to 51.97 during the six months ended June 30, 2019.</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$2.5 million for the six months ended June 30, 2019 compared to the net foreign exchange gain of $2.0 million for the six months ended June 30, 2018.</w:t>
      </w:r>
    </w:p>
    <w:p>
      <w:pPr>
        <w:sectPr>
          <w:pgSz w:w="11900" w:h="16838" w:orient="portrait"/>
          <w:cols w:equalWidth="0" w:num="1">
            <w:col w:w="11420"/>
          </w:cols>
          <w:pgMar w:left="240" w:top="333"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3"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$1.2 million for the six months ended June 30, 2018 to $7.4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primarily due to increase in borrowings under our Credit Facility, issuance of convertible notes and higher effective interest rates.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0"/>
        </w:trPr>
        <w:tc>
          <w:tcPr>
            <w:tcW w:w="57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CCEEFF"/>
            </w:tcBorders>
          </w:tcPr>
          <w:p>
            <w:pPr>
              <w:spacing w:after="0"/>
              <w:rPr>
                <w:sz w:val="21"/>
                <w:szCs w:val="21"/>
                <w:color w:val="auto"/>
              </w:rPr>
            </w:pPr>
          </w:p>
        </w:tc>
      </w:tr>
      <w:tr>
        <w:trPr>
          <w:trHeight w:val="24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6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134.4 %</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7"/>
        </w:trPr>
        <w:tc>
          <w:tcPr>
            <w:tcW w:w="5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by $2.7 million, from $5.8 million for the six months ended June 30, 2018 to $8.5 million for the six months ended June 30, 2019, primarily due to a higher return on our mutual fund investments of $2.0 million and an increase in interest and dividend income of $0.8 million during the six months ended June 30, 2019 compared to six months ended June 30, 2018.</w:t>
      </w:r>
    </w:p>
    <w:p>
      <w:pPr>
        <w:spacing w:after="0" w:line="1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$6.9 million and $1.1 million for the six months ended June 30, 2019 and 2018,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tax rate increased from 2.7% during the six months ended June 30, 2018 to 20.1% during the six months ended June 30, 2019 primarily as a result of (i) an adjustment of $4.8 million reducing the provisional transition tax on the mandatory deemed repatriation of accumulated earnings and profits ("E&amp;P") of foreign subsidiaries recognized during the six months ended June 30, 2018 and (ii) recording of excess tax benefits related to stock awards of $1.1 million pursuant to ASU No. 2016-09 during the six months ended June 30, 2019 compared to $5.2 million during the six months ended June 30, 2018. See Note 22 to our unaudited consolidated financial statements.</w:t>
      </w:r>
    </w:p>
    <w:p>
      <w:pPr>
        <w:spacing w:after="0" w:line="18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$37.6 million for the six months ended June 30, 2018 to $27.3 million for the six months ended June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higher income tax expense of $5.8 million, higher interest expense of $6.2 million, decrease in income from operations of $1.5 million, partially offset by increase in other income, net of $2.7 million and higher foreign exchange gain of $0.5 million. As a percentage of revenues, net income decreased from 9.0% for the six months ended June 30, 2018 to 5.6% for the six months ended June 30,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196"/>
        </w:trPr>
        <w:tc>
          <w:tcPr>
            <w:tcW w:w="7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7"/>
                <w:szCs w:val="17"/>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7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As of June 30, 2019 and 2018, we had $253.0 million and $233.1 million, respectively, in cash, cash equivalents and short-term investments, of which $214.8 million and $185.9 million, respectively, is located in foreign jurisdictions that upon distribution may be subject to withholding and other tax and we do not currently intend to distribute such amounts. If, in the future, we change our intention regarding distributions, additional taxes may be required and would be recorded in the period the intention changes.</w:t>
      </w:r>
    </w:p>
    <w:p>
      <w:pPr>
        <w:spacing w:after="0" w:line="17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were $47.7 million for the six months ended June 30, 2019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operating activities of $13.8 million during the six months ended June 30, 2018. Generally, factors that affect our earnings—including pricing, volume of services, costs and productivity—affect our cash flows used or provided from operations in a similar manner. However, while management of working capital, including timing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collections and payments affects operating results only indirectly, the impact on the working capital and cash flows provided by operating activities can be significant</w:t>
      </w:r>
    </w:p>
    <w:p>
      <w:pPr>
        <w:spacing w:after="0" w:line="16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Cash flows provided by operating activities for the six months ended June 30, 2019 was $47.7 million. This comprised of net income plus the net effect of non-cash items, such as depreciation and amortization, stock-based compensation expense, amortization of operating lease right-of-use assets, deferred income taxes, impairment charges and others aggregating to $82.3 million. The primary working capital use of cash of $46.9 million during the six months ended June 30, 2019 was driven by an increase in accounts receivables, prepaid expenses and other current assets and decrease in operating lease liabilities, accrued employee costs and accounts payable. The primary working capital sources of cash of $12.3 million was driven by higher accrued expenses, deferred revenue, lower advance income tax and other assets.</w:t>
      </w:r>
    </w:p>
    <w:p>
      <w:pPr>
        <w:spacing w:after="0" w:line="186" w:lineRule="exact"/>
        <w:rPr>
          <w:sz w:val="20"/>
          <w:szCs w:val="20"/>
          <w:color w:val="auto"/>
        </w:rPr>
      </w:pPr>
    </w:p>
    <w:p>
      <w:pPr>
        <w:jc w:val="both"/>
        <w:ind w:firstLine="39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provided by investing activities were $0.9 million for the six months ended June 30, 2019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investing activities of $0.4 million for the six months ended June 30, 2018. The increase is mainly due to higher net proceeds from redemption of investments of $23.5 million during the six months ended June 30, 2019 as compared to net proceeds from redemption of investments of $20.1 million during the six months ended June 30, 2018, offset by higher capital expenditures for purchase of long-lived assets, including investments in technology applications, product developments, digital technology and advanced automation &amp; robotics of $3.0 million during the six months ended June 30, 2018 compared to the six months ended June 30, 2018.</w:t>
      </w:r>
    </w:p>
    <w:p>
      <w:pPr>
        <w:spacing w:after="0" w:line="183"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for financing activities were $61.1 million during the six months ended June 30, 2019 as compared to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financing activities of $15.9 million during the six months ended June 30, 2018. The increase in cash flows used by financing activities was primarily due to higher repayment of borrowings of $40.5 million (net of proceeds) under our Credit Facility (as described below in “Financing Arrangements”) during the six months ended June 30, 2019 and by higher purchases of treasury stock by $4.4 million under our share repurchase program during the six months ended June 30, 2019 as compared to the six months ended June 30, 2018.</w:t>
      </w:r>
    </w:p>
    <w:p>
      <w:pPr>
        <w:spacing w:after="0" w:line="18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 incurred $22.3 million of capital expenditures in the six months ended June 30, 2019. We expect to incur capital expenditures of between $35.0 million to $40.0 million in 2019, primarily to meet our growth requirements, including additions to our facilities as well as investments in technology applications, product development, digital technology, advanced automation &amp; robotics and infrastructure.</w:t>
      </w:r>
    </w:p>
    <w:p>
      <w:pPr>
        <w:spacing w:after="0" w:line="18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(see Note 26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68"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the SCIO acquisition. The incremental commitments were made pursuant to (and constitute part of) the existing commitments and shall be subject to the terms and conditions applicable to the existing commitments as set forth in the Credit Agreement.</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entered into a second amendment (the “Amendment”) to our Credit Agreement, as amended, among the Company, as borrower, with certain lenders, and Citibank, N.A. as Administrative Agent to, among other things, permit the issuance 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3"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of the convertible notes, and settlement upon maturity or conversion thereof, in accordance with the Investment Agreement, the indenture dated as of October 4, 2018 and the other documents entered into in connection therewith.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to our unaudited consolidated financial statements herein for further details on our debt facilities.</w:t>
      </w:r>
    </w:p>
    <w:p>
      <w:pPr>
        <w:spacing w:after="0" w:line="22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As of June 30, 2019, we had outstanding indebtedness under the credit facility of $117.0 million, of which $20.0 million is expected to be repaid within the next twelve months and is included under “current portion of long-term borrowings” and of which $97.0 million is included under “long-term borrowings” in the unaudited consolidated balance sheets. As of December 31, 2018, we had outstanding indebtedness under the credit facility of $150.0 million, of which $20.0 million was presented under "current portion of long-term borrowings" and the balance of $130.0 million was included under "long-term borrowings" in the unaudited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 2018, we entered into an investment agreement (the “Investment Agreement”) with Orogen Echo LLC (the “Purchaser”), an affiliate of The Orogen Group LLC, relating to the issuance to the Purchaser of $150.0 million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and six months ended June 30, 2019, we recognized interest expense of $1.3 million and $2.6 million.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Credit Facility.</w:t>
      </w:r>
    </w:p>
    <w:p>
      <w:pPr>
        <w:spacing w:after="0" w:line="29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per annum. The excess of the gross proceeds received over the estimated fair value of the liability component totaling $16.9 million, excluding tax effects,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2019, we had no off-balance sheet arrangements or obligations.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June 30, 2019:</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22"/>
                <w:szCs w:val="22"/>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1-3</w:t>
            </w: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4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4"/>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135.1</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268.5</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r>
      <w:tr>
        <w:trPr>
          <w:trHeight w:val="264"/>
        </w:trPr>
        <w:tc>
          <w:tcPr>
            <w:tcW w:w="428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5"/>
                <w:szCs w:val="25"/>
                <w:color w:val="auto"/>
                <w:vertAlign w:val="superscript"/>
              </w:rPr>
              <w:t>(d)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132.4</w:t>
            </w: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463.2</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lease liabilities payable for cancellable and non-cancellable lease period.</w:t>
      </w:r>
    </w:p>
    <w:p>
      <w:pPr>
        <w:spacing w:after="0" w:line="2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estimated payments under the Gratuity Plan.</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on borrowings is calculated based on the interest rate on the outstanding borrowings as of June 30, 2019.</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$0.8 million related to uncertain tax positions, since the extent of the amount and timing of payment is currently not reliably estimable or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14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2—“Recent Accounting Pronouncements” to the unaudited consolidated financial statements contained herein.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3"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2019,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2018.</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2019. Based upon that evaluation, the CEO and CFO have concluded that, as of June 30, 2019, our disclosure controls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37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currently instituted or asserted will not have a material adverse effect on our unaudited consolidated financial position, results of operations or cash flows. See Note 26 to the unaudited consolidated financial statements contained herein for details regarding certain contingent liabilities.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2018 a number of risks which may materially affect our business, financial condition or results of operations. You should carefully consider the “Risk Factors” set forth in our Annual Report on Form 10-K for the fiscal year ended December 31, 2018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3"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June 30, 2019, purchases of common stock were as follows:</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08"/>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08"/>
        </w:trPr>
        <w:tc>
          <w:tcPr>
            <w:tcW w:w="3720" w:type="dxa"/>
            <w:vAlign w:val="bottom"/>
            <w:gridSpan w:val="2"/>
            <w:vMerge w:val="continue"/>
          </w:tcPr>
          <w:p>
            <w:pPr>
              <w:spacing w:after="0"/>
              <w:rPr>
                <w:sz w:val="9"/>
                <w:szCs w:val="9"/>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9"/>
                <w:szCs w:val="9"/>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Paid per share</w:t>
            </w:r>
            <w:r>
              <w:rPr>
                <w:rFonts w:ascii="Times New Roman" w:cs="Times New Roman" w:eastAsia="Times New Roman" w:hAnsi="Times New Roman"/>
                <w:sz w:val="25"/>
                <w:szCs w:val="25"/>
                <w:b w:val="1"/>
                <w:bCs w:val="1"/>
                <w:color w:val="auto"/>
                <w:w w:val="95"/>
                <w:vertAlign w:val="superscript"/>
              </w:rPr>
              <w:t>(1)</w:t>
            </w:r>
          </w:p>
        </w:tc>
        <w:tc>
          <w:tcPr>
            <w:tcW w:w="194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6"/>
                <w:szCs w:val="16"/>
                <w:color w:val="auto"/>
              </w:rPr>
            </w:pPr>
          </w:p>
        </w:tc>
        <w:tc>
          <w:tcPr>
            <w:tcW w:w="17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32"/>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2019 through April 30, 2019</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22,000,378</w:t>
            </w: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2019 through May 31, 2019</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17,948,014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2019 through June 30, 2019</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13,870,180</w:t>
            </w:r>
          </w:p>
        </w:tc>
        <w:tc>
          <w:tcPr>
            <w:tcW w:w="0" w:type="dxa"/>
            <w:vAlign w:val="bottom"/>
          </w:tcPr>
          <w:p>
            <w:pPr>
              <w:spacing w:after="0"/>
              <w:rPr>
                <w:sz w:val="1"/>
                <w:szCs w:val="1"/>
                <w:color w:val="auto"/>
              </w:rPr>
            </w:pPr>
          </w:p>
        </w:tc>
      </w:tr>
      <w:tr>
        <w:trPr>
          <w:trHeight w:val="25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198,160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198,160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Average of high and low price of common stock on the trading day prior to the vesting date of the shares of restricted stock.</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240" w:top="333" w:right="5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as part of this Quarterly Report on Form 10-Q:</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Amendment to the Company’s Fourth Amended and Restated By-laws effective June 17, 2019 (incorporated by reference to Exhibit 3.1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Company’s Current Report on Form 8-K (File No. 1-33089) filed on June 19,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Fifth Amended and Restated By-laws of ExlService Holdings, Inc. (incorporated by reference to Exhibit 3.2 of the Company’s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on Form 8-K (File No. 1-33089) filed on June 19, 2019)</w:t>
              </w:r>
            </w:hyperlink>
          </w:p>
        </w:tc>
        <w:tc>
          <w:tcPr>
            <w:tcW w:w="618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Section 302 of the Sarbanes-Oxley Act of 2002.</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pursuant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66">
              <w:r>
                <w:rPr>
                  <w:rFonts w:ascii="Times New Roman" w:cs="Times New Roman" w:eastAsia="Times New Roman" w:hAnsi="Times New Roman"/>
                  <w:sz w:val="18"/>
                  <w:szCs w:val="18"/>
                  <w:color w:val="0000FF"/>
                  <w:w w:val="99"/>
                </w:rPr>
                <w:t>to Section 906 of the Sarbanes-Oxley Act of 2002.</w:t>
              </w:r>
            </w:hyperlink>
          </w:p>
        </w:tc>
        <w:tc>
          <w:tcPr>
            <w:tcW w:w="6560" w:type="dxa"/>
            <w:vAlign w:val="bottom"/>
            <w:tcBorders>
              <w:top w:val="single" w:sz="8" w:color="0000FF"/>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Certification of the Chief Financial Officer pursuant to Rule 13a-14(b) of the Exchange Act and 18 U.S.C. Section 1350, as adopted pursuant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180" w:type="dxa"/>
            <w:vAlign w:val="bottom"/>
            <w:gridSpan w:val="6"/>
            <w:vMerge w:val="restart"/>
          </w:tcPr>
          <w:p>
            <w:pPr>
              <w:jc w:val="right"/>
              <w:ind w:right="1300"/>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18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3"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2019</w:t>
            </w:r>
          </w:p>
        </w:tc>
        <w:tc>
          <w:tcPr>
            <w:tcW w:w="81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94"/>
        </w:trPr>
        <w:tc>
          <w:tcPr>
            <w:tcW w:w="3200" w:type="dxa"/>
            <w:vAlign w:val="bottom"/>
          </w:tcPr>
          <w:p>
            <w:pPr>
              <w:spacing w:after="0"/>
              <w:rPr>
                <w:sz w:val="24"/>
                <w:szCs w:val="24"/>
                <w:color w:val="auto"/>
              </w:rPr>
            </w:pPr>
          </w:p>
        </w:tc>
        <w:tc>
          <w:tcPr>
            <w:tcW w:w="81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r>
        <w:trPr>
          <w:trHeight w:val="27"/>
        </w:trPr>
        <w:tc>
          <w:tcPr>
            <w:tcW w:w="3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4"/>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Vishal Chhibbar</w:t>
            </w:r>
          </w:p>
        </w:tc>
      </w:tr>
      <w:tr>
        <w:trPr>
          <w:trHeight w:val="149"/>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3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tc>
      </w:tr>
      <w:tr>
        <w:trPr>
          <w:trHeight w:val="685"/>
        </w:trPr>
        <w:tc>
          <w:tcPr>
            <w:tcW w:w="3200" w:type="dxa"/>
            <w:vAlign w:val="bottom"/>
          </w:tcPr>
          <w:p>
            <w:pPr>
              <w:spacing w:after="0"/>
              <w:rPr>
                <w:sz w:val="24"/>
                <w:szCs w:val="24"/>
                <w:color w:val="auto"/>
              </w:rPr>
            </w:pPr>
          </w:p>
        </w:tc>
        <w:tc>
          <w:tcPr>
            <w:tcW w:w="816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62</w:t>
            </w:r>
          </w:p>
        </w:tc>
      </w:tr>
    </w:tbl>
    <w:p>
      <w:pPr>
        <w:sectPr>
          <w:pgSz w:w="11900" w:h="16838" w:orient="portrait"/>
          <w:cols w:equalWidth="0" w:num="1">
            <w:col w:w="11400"/>
          </w:cols>
          <w:pgMar w:left="240" w:top="333" w:right="2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July 30, 2019</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July 30, 2019</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June 30, 2019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30, 2019</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June 30, 2019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30,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3" Type="http://schemas.openxmlformats.org/officeDocument/2006/relationships/hyperlink" Target="http://www.sec.gov/Archives/edgar/data/1297989/000119312506214684/dex31.htm" TargetMode="External"/><Relationship Id="rId54" Type="http://schemas.openxmlformats.org/officeDocument/2006/relationships/hyperlink" Target="http://www.sec.gov/Archives/edgar/data/1297989/000114420419031504/tv523830_ex3-1.htm" TargetMode="External"/><Relationship Id="rId55" Type="http://schemas.openxmlformats.org/officeDocument/2006/relationships/hyperlink" Target="http://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2019-12-28T10:09:59Z</dcterms:created>
  <dcterms:modified xsi:type="dcterms:W3CDTF">2019-12-28T10:09:59Z</dcterms:modified>
</cp:coreProperties>
</file>